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35BC" w14:textId="77777777" w:rsidR="00157B2D" w:rsidRPr="00A16A79" w:rsidRDefault="00157B2D" w:rsidP="00E50F52">
      <w:pPr>
        <w:pStyle w:val="Title"/>
      </w:pPr>
      <w:r w:rsidRPr="00A16A79">
        <w:t xml:space="preserve">The Office of Acquisition and Logistics Management </w:t>
      </w:r>
      <w:r w:rsidRPr="00E50F52">
        <w:t>Newsletter</w:t>
      </w:r>
    </w:p>
    <w:p w14:paraId="350E50CD" w14:textId="395D7E25" w:rsidR="00157B2D" w:rsidRPr="00A16A79" w:rsidRDefault="00DD4480" w:rsidP="00E50F52">
      <w:pPr>
        <w:pStyle w:val="Title"/>
      </w:pPr>
      <w:r w:rsidRPr="00A16A79">
        <w:t xml:space="preserve">2020 </w:t>
      </w:r>
      <w:r w:rsidR="001C26D6" w:rsidRPr="00A16A79">
        <w:t>3</w:t>
      </w:r>
      <w:r w:rsidR="001C26D6" w:rsidRPr="00A16A79">
        <w:rPr>
          <w:vertAlign w:val="superscript"/>
        </w:rPr>
        <w:t>rd</w:t>
      </w:r>
      <w:r w:rsidR="001C26D6" w:rsidRPr="00A16A79">
        <w:t xml:space="preserve"> </w:t>
      </w:r>
      <w:r w:rsidR="00157B2D" w:rsidRPr="00A16A79">
        <w:t xml:space="preserve">Quarter </w:t>
      </w:r>
    </w:p>
    <w:p w14:paraId="78B8986D" w14:textId="5CBC8E53" w:rsidR="00E168A5" w:rsidRDefault="00E168A5" w:rsidP="00556AD2">
      <w:pPr>
        <w:spacing w:line="240" w:lineRule="auto"/>
        <w:rPr>
          <w:sz w:val="24"/>
          <w:szCs w:val="24"/>
        </w:rPr>
      </w:pPr>
    </w:p>
    <w:p w14:paraId="2B75E0CF" w14:textId="3CAD1C02" w:rsidR="00E168A5" w:rsidRPr="00E50F52" w:rsidRDefault="00AD69EA" w:rsidP="00E50F52">
      <w:pPr>
        <w:pStyle w:val="Heading1"/>
      </w:pPr>
      <w:r w:rsidRPr="00E50F52">
        <w:t>Launch of NBS Buyer Simplified Acquisition – Systems II Course</w:t>
      </w:r>
      <w:r w:rsidR="00E168A5" w:rsidRPr="00E50F52">
        <w:t xml:space="preserve"> </w:t>
      </w:r>
    </w:p>
    <w:p w14:paraId="0308BE83" w14:textId="7D2339B5" w:rsidR="00AD69EA" w:rsidRPr="00AD69EA" w:rsidRDefault="00AD69EA" w:rsidP="00AD69EA">
      <w:pPr>
        <w:spacing w:line="240" w:lineRule="auto"/>
        <w:rPr>
          <w:sz w:val="24"/>
          <w:szCs w:val="24"/>
        </w:rPr>
      </w:pPr>
      <w:r w:rsidRPr="00AD69EA">
        <w:rPr>
          <w:sz w:val="24"/>
          <w:szCs w:val="24"/>
        </w:rPr>
        <w:t>The NIH Business System (NBS) and Office of Acquisition &amp; Logistics Management (OALM) are excited to announce the launch of a modular computer-based course, NBS Buyer Simplified Acquisition – Systems II. The course will provide users with an on-demand learning opportunity while also serving as a resource bank for NBS users to reference in the future.</w:t>
      </w:r>
    </w:p>
    <w:p w14:paraId="7A6A7008" w14:textId="6C9EFB04" w:rsidR="00AD69EA" w:rsidRPr="00AD69EA" w:rsidRDefault="00AD69EA" w:rsidP="00AD69EA">
      <w:pPr>
        <w:spacing w:line="240" w:lineRule="auto"/>
        <w:rPr>
          <w:sz w:val="24"/>
          <w:szCs w:val="24"/>
        </w:rPr>
      </w:pPr>
      <w:r w:rsidRPr="00AD69EA">
        <w:rPr>
          <w:sz w:val="24"/>
          <w:szCs w:val="24"/>
        </w:rPr>
        <w:t xml:space="preserve">NBS Buyer Simplified Acquisition – Systems II, now available on the </w:t>
      </w:r>
      <w:hyperlink r:id="rId7" w:tooltip="HHS Learning Portal" w:history="1">
        <w:r w:rsidRPr="00AD69EA">
          <w:t>HHS Learning Portal</w:t>
        </w:r>
      </w:hyperlink>
      <w:r w:rsidRPr="00AD69EA">
        <w:rPr>
          <w:sz w:val="24"/>
          <w:szCs w:val="24"/>
        </w:rPr>
        <w:t>, is comprised of five required modules covering aspects of the simplified acquisitions lifecycle and one optional section that provides detailed troubleshooting instructions. It is highly recommended that you review the optional module before beginning the required course material.</w:t>
      </w:r>
    </w:p>
    <w:p w14:paraId="4BCE6933" w14:textId="2A10C73C" w:rsidR="00AD69EA" w:rsidRPr="00AD69EA" w:rsidRDefault="00AD69EA" w:rsidP="00AD69EA">
      <w:pPr>
        <w:spacing w:line="240" w:lineRule="auto"/>
        <w:rPr>
          <w:sz w:val="24"/>
          <w:szCs w:val="24"/>
        </w:rPr>
      </w:pPr>
      <w:r w:rsidRPr="00AD69EA">
        <w:rPr>
          <w:sz w:val="24"/>
          <w:szCs w:val="24"/>
        </w:rPr>
        <w:t>The course is designed to instruct new and existing PRISM users on how to use the NBS Buyer Simplified Acquisition System to effectively create and manage orders throughout the award lifecycle.</w:t>
      </w:r>
    </w:p>
    <w:p w14:paraId="3B54C4A4" w14:textId="77777777" w:rsidR="00AD69EA" w:rsidRPr="00AD69EA" w:rsidRDefault="00AD69EA" w:rsidP="00AD69EA">
      <w:pPr>
        <w:spacing w:line="240" w:lineRule="auto"/>
        <w:rPr>
          <w:sz w:val="24"/>
          <w:szCs w:val="24"/>
        </w:rPr>
      </w:pPr>
      <w:r w:rsidRPr="00AD69EA">
        <w:rPr>
          <w:sz w:val="24"/>
          <w:szCs w:val="24"/>
        </w:rPr>
        <w:t>The course includes five required modules:</w:t>
      </w:r>
    </w:p>
    <w:p w14:paraId="6B1FC34F" w14:textId="7E99064D" w:rsidR="00AD69EA" w:rsidRPr="00AD69EA" w:rsidRDefault="00AD69EA" w:rsidP="00AD69EA">
      <w:pPr>
        <w:spacing w:line="240" w:lineRule="auto"/>
        <w:ind w:firstLine="720"/>
        <w:rPr>
          <w:sz w:val="24"/>
          <w:szCs w:val="24"/>
        </w:rPr>
      </w:pPr>
      <w:r w:rsidRPr="00AD69EA">
        <w:rPr>
          <w:sz w:val="24"/>
          <w:szCs w:val="24"/>
        </w:rPr>
        <w:t>Module 1 – NIH Business System and Simplified Acquisition</w:t>
      </w:r>
      <w:r>
        <w:rPr>
          <w:sz w:val="24"/>
          <w:szCs w:val="24"/>
        </w:rPr>
        <w:t xml:space="preserve"> Overview</w:t>
      </w:r>
    </w:p>
    <w:p w14:paraId="3C94A4D6" w14:textId="714F8531" w:rsidR="00AD69EA" w:rsidRDefault="00AD69EA" w:rsidP="00AD69EA">
      <w:pPr>
        <w:spacing w:line="240" w:lineRule="auto"/>
        <w:ind w:firstLine="720"/>
        <w:rPr>
          <w:sz w:val="24"/>
          <w:szCs w:val="24"/>
        </w:rPr>
      </w:pPr>
      <w:r w:rsidRPr="00AD69EA">
        <w:rPr>
          <w:sz w:val="24"/>
          <w:szCs w:val="24"/>
        </w:rPr>
        <w:t>Module 2 – Acquisition Planning and Pre-Award</w:t>
      </w:r>
    </w:p>
    <w:p w14:paraId="2D847864" w14:textId="77777777" w:rsidR="00AD69EA" w:rsidRPr="00AD69EA" w:rsidRDefault="00AD69EA" w:rsidP="00AD69EA">
      <w:pPr>
        <w:spacing w:line="240" w:lineRule="auto"/>
        <w:ind w:firstLine="720"/>
        <w:rPr>
          <w:sz w:val="24"/>
          <w:szCs w:val="24"/>
        </w:rPr>
      </w:pPr>
      <w:r w:rsidRPr="00AD69EA">
        <w:rPr>
          <w:sz w:val="24"/>
          <w:szCs w:val="24"/>
        </w:rPr>
        <w:t xml:space="preserve">Module 3 – Creating Awards </w:t>
      </w:r>
    </w:p>
    <w:p w14:paraId="4E0B5537" w14:textId="77777777" w:rsidR="00AD69EA" w:rsidRPr="00AD69EA" w:rsidRDefault="00AD69EA" w:rsidP="00AD69EA">
      <w:pPr>
        <w:spacing w:line="240" w:lineRule="auto"/>
        <w:ind w:firstLine="720"/>
        <w:rPr>
          <w:sz w:val="24"/>
          <w:szCs w:val="24"/>
        </w:rPr>
      </w:pPr>
      <w:r w:rsidRPr="00AD69EA">
        <w:rPr>
          <w:sz w:val="24"/>
          <w:szCs w:val="24"/>
        </w:rPr>
        <w:t>Module 4 – Administering and Modifying Awards  </w:t>
      </w:r>
    </w:p>
    <w:p w14:paraId="23D1045C" w14:textId="77777777" w:rsidR="00AD69EA" w:rsidRPr="00AD69EA" w:rsidRDefault="00AD69EA" w:rsidP="00AD69EA">
      <w:pPr>
        <w:spacing w:line="240" w:lineRule="auto"/>
        <w:ind w:firstLine="720"/>
        <w:rPr>
          <w:sz w:val="24"/>
          <w:szCs w:val="24"/>
        </w:rPr>
      </w:pPr>
      <w:r w:rsidRPr="00AD69EA">
        <w:rPr>
          <w:sz w:val="24"/>
          <w:szCs w:val="24"/>
        </w:rPr>
        <w:t xml:space="preserve">Module 5 – Closeout </w:t>
      </w:r>
    </w:p>
    <w:p w14:paraId="51A4A6EB" w14:textId="0AF30809" w:rsidR="00AD69EA" w:rsidRPr="00AD69EA" w:rsidRDefault="00AD69EA" w:rsidP="00AD69EA">
      <w:pPr>
        <w:spacing w:line="240" w:lineRule="auto"/>
        <w:ind w:firstLine="720"/>
        <w:rPr>
          <w:sz w:val="24"/>
          <w:szCs w:val="24"/>
        </w:rPr>
      </w:pPr>
      <w:r w:rsidRPr="00AD69EA">
        <w:rPr>
          <w:sz w:val="24"/>
          <w:szCs w:val="24"/>
        </w:rPr>
        <w:t>Recommended Content– Course Troubleshooting Tip Sheet</w:t>
      </w:r>
    </w:p>
    <w:p w14:paraId="34A466EE" w14:textId="60B80929" w:rsidR="00AD69EA" w:rsidRPr="00AD69EA" w:rsidRDefault="00AD69EA" w:rsidP="00AD69EA">
      <w:pPr>
        <w:spacing w:line="240" w:lineRule="auto"/>
        <w:rPr>
          <w:sz w:val="24"/>
          <w:szCs w:val="24"/>
        </w:rPr>
      </w:pPr>
      <w:r w:rsidRPr="00AD69EA">
        <w:rPr>
          <w:sz w:val="24"/>
          <w:szCs w:val="24"/>
        </w:rPr>
        <w:t>Within each module, users will progress through lessons and exercises that teach the necessary information to perform key tasks related to Simplified Acquisitions within the NBS. Each module concludes with a short quiz designed to help reinforce concepts and processes reviewed in the module. To receive credit, users must score 100% on the quizzes; completion of each course module; and a final assessment score of 80% or higher to successfully complete the course.</w:t>
      </w:r>
    </w:p>
    <w:p w14:paraId="7ACCC702" w14:textId="0F4444DC" w:rsidR="00AD69EA" w:rsidRPr="00AD69EA" w:rsidRDefault="00AD69EA" w:rsidP="00AD69EA">
      <w:pPr>
        <w:spacing w:line="240" w:lineRule="auto"/>
        <w:rPr>
          <w:sz w:val="24"/>
          <w:szCs w:val="24"/>
        </w:rPr>
      </w:pPr>
      <w:r w:rsidRPr="00AD69EA">
        <w:rPr>
          <w:sz w:val="24"/>
          <w:szCs w:val="24"/>
        </w:rPr>
        <w:t>Basic Simplified Acquisition training is a required prerequisite because of the advanced procurement concepts and terminology used in this course.   Basic Simplified Acquisition is offered through various channels including FAITAS (free</w:t>
      </w:r>
      <w:r w:rsidR="004A6979">
        <w:rPr>
          <w:sz w:val="24"/>
          <w:szCs w:val="24"/>
        </w:rPr>
        <w:t xml:space="preserve"> –</w:t>
      </w:r>
      <w:r w:rsidRPr="00AD69EA">
        <w:rPr>
          <w:sz w:val="24"/>
          <w:szCs w:val="24"/>
        </w:rPr>
        <w:t xml:space="preserve"> Course # </w:t>
      </w:r>
      <w:hyperlink r:id="rId8" w:history="1">
        <w:r w:rsidRPr="00AD69EA">
          <w:t>FQN 425</w:t>
        </w:r>
      </w:hyperlink>
      <w:r w:rsidRPr="00AD69EA">
        <w:rPr>
          <w:sz w:val="24"/>
          <w:szCs w:val="24"/>
        </w:rPr>
        <w:t>), the NIH Training Center (cost</w:t>
      </w:r>
      <w:r w:rsidR="004A6979">
        <w:rPr>
          <w:sz w:val="24"/>
          <w:szCs w:val="24"/>
        </w:rPr>
        <w:t xml:space="preserve"> –</w:t>
      </w:r>
      <w:r w:rsidRPr="00AD69EA">
        <w:rPr>
          <w:sz w:val="24"/>
          <w:szCs w:val="24"/>
        </w:rPr>
        <w:t xml:space="preserve"> Course # </w:t>
      </w:r>
      <w:hyperlink r:id="rId9" w:history="1">
        <w:r w:rsidRPr="00AD69EA">
          <w:t>NIHTC9530</w:t>
        </w:r>
      </w:hyperlink>
      <w:r w:rsidRPr="00AD69EA">
        <w:rPr>
          <w:sz w:val="24"/>
          <w:szCs w:val="24"/>
        </w:rPr>
        <w:t xml:space="preserve">) and other vendors (see </w:t>
      </w:r>
      <w:hyperlink r:id="rId10" w:history="1">
        <w:r w:rsidRPr="00AD69EA">
          <w:rPr>
            <w:rStyle w:val="Hyperlink"/>
            <w:sz w:val="24"/>
            <w:szCs w:val="24"/>
          </w:rPr>
          <w:t>https://oalm.od.nih.gov/acp_training</w:t>
        </w:r>
      </w:hyperlink>
      <w:r>
        <w:rPr>
          <w:sz w:val="24"/>
          <w:szCs w:val="24"/>
        </w:rPr>
        <w:t xml:space="preserve"> </w:t>
      </w:r>
      <w:r w:rsidRPr="00AD69EA">
        <w:rPr>
          <w:sz w:val="24"/>
          <w:szCs w:val="24"/>
        </w:rPr>
        <w:t xml:space="preserve">for list).  For more information regarding acquisition training, please contact </w:t>
      </w:r>
      <w:hyperlink r:id="rId11" w:history="1">
        <w:r w:rsidRPr="00AD69EA">
          <w:t>acp@nih.gov</w:t>
        </w:r>
      </w:hyperlink>
      <w:r w:rsidRPr="00AD69EA">
        <w:rPr>
          <w:sz w:val="24"/>
          <w:szCs w:val="24"/>
        </w:rPr>
        <w:t>.</w:t>
      </w:r>
    </w:p>
    <w:p w14:paraId="794B6ADD" w14:textId="77777777" w:rsidR="00AD69EA" w:rsidRPr="00AD69EA" w:rsidRDefault="00AD69EA" w:rsidP="00AD69EA">
      <w:pPr>
        <w:spacing w:line="240" w:lineRule="auto"/>
        <w:rPr>
          <w:sz w:val="24"/>
          <w:szCs w:val="24"/>
        </w:rPr>
      </w:pPr>
      <w:r w:rsidRPr="00AD69EA">
        <w:rPr>
          <w:sz w:val="24"/>
          <w:szCs w:val="24"/>
        </w:rPr>
        <w:t xml:space="preserve">You can register for the new Buyer Simplified Acquisition Course on the </w:t>
      </w:r>
      <w:hyperlink r:id="rId12" w:tooltip="HHS Learning Portal" w:history="1">
        <w:r w:rsidRPr="00AD69EA">
          <w:t>HHS Learning Portal</w:t>
        </w:r>
      </w:hyperlink>
      <w:r w:rsidRPr="00AD69EA">
        <w:rPr>
          <w:sz w:val="24"/>
          <w:szCs w:val="24"/>
        </w:rPr>
        <w:t>. The course information is provided below:</w:t>
      </w:r>
    </w:p>
    <w:p w14:paraId="046933FD" w14:textId="77777777" w:rsidR="00AD69EA" w:rsidRDefault="00AD69EA" w:rsidP="00AD69EA">
      <w:pPr>
        <w:spacing w:line="240" w:lineRule="auto"/>
        <w:ind w:firstLine="720"/>
        <w:rPr>
          <w:sz w:val="24"/>
          <w:szCs w:val="24"/>
        </w:rPr>
      </w:pPr>
      <w:r w:rsidRPr="00AD69EA">
        <w:rPr>
          <w:sz w:val="24"/>
          <w:szCs w:val="24"/>
        </w:rPr>
        <w:t>Course Name: NBS Buyer Simplified Acquisition – Systems II</w:t>
      </w:r>
    </w:p>
    <w:p w14:paraId="5C6E49DC" w14:textId="6B9D1631" w:rsidR="00AD69EA" w:rsidRPr="00AD69EA" w:rsidRDefault="00AD69EA" w:rsidP="00AD69EA">
      <w:pPr>
        <w:spacing w:line="240" w:lineRule="auto"/>
        <w:ind w:firstLine="720"/>
        <w:rPr>
          <w:sz w:val="24"/>
          <w:szCs w:val="24"/>
        </w:rPr>
      </w:pPr>
      <w:r w:rsidRPr="00AD69EA">
        <w:rPr>
          <w:sz w:val="24"/>
          <w:szCs w:val="24"/>
        </w:rPr>
        <w:t>Course ID: NBS BSA-SYSTEMS II</w:t>
      </w:r>
    </w:p>
    <w:p w14:paraId="0E1455B7" w14:textId="77777777" w:rsidR="00AD69EA" w:rsidRPr="00AD69EA" w:rsidRDefault="00AD69EA" w:rsidP="00AD69EA">
      <w:pPr>
        <w:spacing w:line="240" w:lineRule="auto"/>
        <w:ind w:firstLine="720"/>
        <w:rPr>
          <w:sz w:val="24"/>
          <w:szCs w:val="24"/>
        </w:rPr>
      </w:pPr>
      <w:r w:rsidRPr="00AD69EA">
        <w:rPr>
          <w:sz w:val="24"/>
          <w:szCs w:val="24"/>
        </w:rPr>
        <w:lastRenderedPageBreak/>
        <w:t>ID #: 00205901</w:t>
      </w:r>
    </w:p>
    <w:p w14:paraId="6A7DD882" w14:textId="6863EF75" w:rsidR="00AD69EA" w:rsidRDefault="00AD69EA" w:rsidP="00AD69EA">
      <w:pPr>
        <w:spacing w:line="240" w:lineRule="auto"/>
        <w:rPr>
          <w:sz w:val="24"/>
          <w:szCs w:val="24"/>
        </w:rPr>
      </w:pPr>
      <w:r w:rsidRPr="00AD69EA">
        <w:rPr>
          <w:sz w:val="24"/>
          <w:szCs w:val="24"/>
        </w:rPr>
        <w:t>The course will take approximately 8 hours to complete. Learners will receive 8 CLPs for successfully completing the course.</w:t>
      </w:r>
    </w:p>
    <w:p w14:paraId="5CE646F3" w14:textId="77777777" w:rsidR="00A5769E" w:rsidRPr="00AD69EA" w:rsidRDefault="00A5769E" w:rsidP="00AD69EA">
      <w:pPr>
        <w:spacing w:line="240" w:lineRule="auto"/>
        <w:rPr>
          <w:sz w:val="24"/>
          <w:szCs w:val="24"/>
        </w:rPr>
      </w:pPr>
    </w:p>
    <w:p w14:paraId="168972ED" w14:textId="77777777" w:rsidR="00A5769E" w:rsidRPr="00A5769E" w:rsidRDefault="00A5769E" w:rsidP="00E50F52">
      <w:pPr>
        <w:pStyle w:val="Heading1"/>
      </w:pPr>
      <w:r w:rsidRPr="00A5769E">
        <w:t xml:space="preserve">Section 889 Part B Prohibition on Contractors that Use Certain Telecom Equipment and Services Now in Effect </w:t>
      </w:r>
    </w:p>
    <w:p w14:paraId="320AB940" w14:textId="77777777" w:rsidR="00A5769E" w:rsidRPr="00A5769E" w:rsidRDefault="00A5769E" w:rsidP="00A5769E">
      <w:pPr>
        <w:rPr>
          <w:sz w:val="24"/>
          <w:szCs w:val="24"/>
        </w:rPr>
      </w:pPr>
      <w:r w:rsidRPr="00A5769E">
        <w:rPr>
          <w:sz w:val="24"/>
          <w:szCs w:val="24"/>
        </w:rPr>
        <w:t>In FY2019, the National Defense Authorization Act (NDAA) set forth two prohibitions contained in Section 889(a)(1)(A) and (B) regarding certain telecommunications and video surveillance equipment and services (telecom).</w:t>
      </w:r>
    </w:p>
    <w:p w14:paraId="6071AD35" w14:textId="77777777" w:rsidR="00A5769E" w:rsidRPr="00A5769E" w:rsidRDefault="00A5769E" w:rsidP="00A5769E">
      <w:pPr>
        <w:rPr>
          <w:sz w:val="24"/>
          <w:szCs w:val="24"/>
        </w:rPr>
      </w:pPr>
      <w:r w:rsidRPr="00A5769E">
        <w:rPr>
          <w:sz w:val="24"/>
          <w:szCs w:val="24"/>
        </w:rPr>
        <w:t xml:space="preserve">Part A went into effect on August 13, 2019 and mandated that the Government </w:t>
      </w:r>
      <w:r w:rsidRPr="00A5769E">
        <w:rPr>
          <w:sz w:val="24"/>
          <w:szCs w:val="24"/>
          <w:u w:val="single"/>
        </w:rPr>
        <w:t>may not obtain</w:t>
      </w:r>
      <w:r w:rsidRPr="00A5769E">
        <w:rPr>
          <w:sz w:val="24"/>
          <w:szCs w:val="24"/>
        </w:rPr>
        <w:t xml:space="preserve"> through a contract or other instrument certain telecommunications equipment or services produced by the following companies or their subsidiaries and affiliates:</w:t>
      </w:r>
    </w:p>
    <w:p w14:paraId="040EA5BF" w14:textId="77777777" w:rsidR="00A5769E" w:rsidRPr="00A5769E" w:rsidRDefault="00A5769E" w:rsidP="00A5769E">
      <w:pPr>
        <w:pStyle w:val="ListParagraph"/>
        <w:numPr>
          <w:ilvl w:val="0"/>
          <w:numId w:val="8"/>
        </w:numPr>
        <w:spacing w:after="200" w:line="288" w:lineRule="auto"/>
        <w:rPr>
          <w:sz w:val="24"/>
          <w:szCs w:val="24"/>
        </w:rPr>
      </w:pPr>
      <w:r w:rsidRPr="00A5769E">
        <w:rPr>
          <w:sz w:val="24"/>
          <w:szCs w:val="24"/>
        </w:rPr>
        <w:t xml:space="preserve">Huawei </w:t>
      </w:r>
      <w:proofErr w:type="spellStart"/>
      <w:r w:rsidRPr="00A5769E">
        <w:rPr>
          <w:sz w:val="24"/>
          <w:szCs w:val="24"/>
        </w:rPr>
        <w:t>Technolgies</w:t>
      </w:r>
      <w:proofErr w:type="spellEnd"/>
      <w:r w:rsidRPr="00A5769E">
        <w:rPr>
          <w:sz w:val="24"/>
          <w:szCs w:val="24"/>
        </w:rPr>
        <w:t xml:space="preserve"> Company</w:t>
      </w:r>
    </w:p>
    <w:p w14:paraId="40F93B8C" w14:textId="77777777" w:rsidR="00A5769E" w:rsidRPr="00A5769E" w:rsidRDefault="00A5769E" w:rsidP="00A5769E">
      <w:pPr>
        <w:pStyle w:val="ListParagraph"/>
        <w:numPr>
          <w:ilvl w:val="0"/>
          <w:numId w:val="8"/>
        </w:numPr>
        <w:spacing w:after="200" w:line="288" w:lineRule="auto"/>
        <w:rPr>
          <w:sz w:val="24"/>
          <w:szCs w:val="24"/>
        </w:rPr>
      </w:pPr>
      <w:r w:rsidRPr="00A5769E">
        <w:rPr>
          <w:sz w:val="24"/>
          <w:szCs w:val="24"/>
        </w:rPr>
        <w:t>ZTE Corporation</w:t>
      </w:r>
    </w:p>
    <w:p w14:paraId="346E3550" w14:textId="77777777" w:rsidR="00A5769E" w:rsidRPr="00A5769E" w:rsidRDefault="00A5769E" w:rsidP="00A5769E">
      <w:pPr>
        <w:pStyle w:val="ListParagraph"/>
        <w:numPr>
          <w:ilvl w:val="0"/>
          <w:numId w:val="8"/>
        </w:numPr>
        <w:spacing w:after="200" w:line="288" w:lineRule="auto"/>
        <w:rPr>
          <w:sz w:val="24"/>
          <w:szCs w:val="24"/>
        </w:rPr>
      </w:pPr>
      <w:r w:rsidRPr="00A5769E">
        <w:rPr>
          <w:sz w:val="24"/>
          <w:szCs w:val="24"/>
        </w:rPr>
        <w:t>Hytera Communications Corporation</w:t>
      </w:r>
    </w:p>
    <w:p w14:paraId="03001489" w14:textId="77777777" w:rsidR="00A5769E" w:rsidRPr="00A5769E" w:rsidRDefault="00A5769E" w:rsidP="00A5769E">
      <w:pPr>
        <w:pStyle w:val="ListParagraph"/>
        <w:numPr>
          <w:ilvl w:val="0"/>
          <w:numId w:val="8"/>
        </w:numPr>
        <w:spacing w:after="200" w:line="288" w:lineRule="auto"/>
        <w:rPr>
          <w:sz w:val="24"/>
          <w:szCs w:val="24"/>
        </w:rPr>
      </w:pPr>
      <w:r w:rsidRPr="00A5769E">
        <w:rPr>
          <w:sz w:val="24"/>
          <w:szCs w:val="24"/>
        </w:rPr>
        <w:t>Hangzhou Hikvision Digital Technology Company</w:t>
      </w:r>
    </w:p>
    <w:p w14:paraId="35207069" w14:textId="77777777" w:rsidR="00A5769E" w:rsidRPr="00A5769E" w:rsidRDefault="00A5769E" w:rsidP="00A5769E">
      <w:pPr>
        <w:pStyle w:val="ListParagraph"/>
        <w:numPr>
          <w:ilvl w:val="0"/>
          <w:numId w:val="8"/>
        </w:numPr>
        <w:spacing w:after="200" w:line="288" w:lineRule="auto"/>
        <w:rPr>
          <w:sz w:val="24"/>
          <w:szCs w:val="24"/>
        </w:rPr>
      </w:pPr>
      <w:proofErr w:type="spellStart"/>
      <w:r w:rsidRPr="00A5769E">
        <w:rPr>
          <w:sz w:val="24"/>
          <w:szCs w:val="24"/>
        </w:rPr>
        <w:t>Dahua</w:t>
      </w:r>
      <w:proofErr w:type="spellEnd"/>
      <w:r w:rsidRPr="00A5769E">
        <w:rPr>
          <w:sz w:val="24"/>
          <w:szCs w:val="24"/>
        </w:rPr>
        <w:t xml:space="preserve"> Technology Company</w:t>
      </w:r>
    </w:p>
    <w:p w14:paraId="38853F2B" w14:textId="10330869" w:rsidR="00A5769E" w:rsidRPr="00A5769E" w:rsidRDefault="00A5769E" w:rsidP="00A5769E">
      <w:pPr>
        <w:rPr>
          <w:sz w:val="24"/>
          <w:szCs w:val="24"/>
        </w:rPr>
      </w:pPr>
      <w:r w:rsidRPr="00A5769E">
        <w:rPr>
          <w:sz w:val="24"/>
          <w:szCs w:val="24"/>
        </w:rPr>
        <w:t>After Part B went into effect on August 13, 2020, the Government</w:t>
      </w:r>
      <w:r>
        <w:rPr>
          <w:sz w:val="24"/>
          <w:szCs w:val="24"/>
        </w:rPr>
        <w:t xml:space="preserve"> also</w:t>
      </w:r>
      <w:r w:rsidRPr="00A5769E">
        <w:rPr>
          <w:sz w:val="24"/>
          <w:szCs w:val="24"/>
        </w:rPr>
        <w:t xml:space="preserve"> </w:t>
      </w:r>
      <w:r w:rsidRPr="00A5769E">
        <w:rPr>
          <w:sz w:val="24"/>
          <w:szCs w:val="24"/>
          <w:u w:val="single"/>
        </w:rPr>
        <w:t>may not contract</w:t>
      </w:r>
      <w:r w:rsidRPr="00A5769E">
        <w:rPr>
          <w:sz w:val="24"/>
          <w:szCs w:val="24"/>
        </w:rPr>
        <w:t xml:space="preserve"> with an entity that uses telecommunications equipment or services, as a substantial or essential component of any system, or as critical technology as part of any system, produced by any of the companies listed above. Part B applies to every sector, regardless of what a company makes or sells.</w:t>
      </w:r>
    </w:p>
    <w:p w14:paraId="6AD528FD" w14:textId="77777777" w:rsidR="00A5769E" w:rsidRPr="00A5769E" w:rsidRDefault="00A5769E" w:rsidP="00A5769E">
      <w:pPr>
        <w:rPr>
          <w:sz w:val="24"/>
          <w:szCs w:val="24"/>
        </w:rPr>
      </w:pPr>
      <w:r w:rsidRPr="00A5769E">
        <w:rPr>
          <w:sz w:val="24"/>
          <w:szCs w:val="24"/>
        </w:rPr>
        <w:t>Both Part A and B have been added to the FAR (</w:t>
      </w:r>
      <w:hyperlink r:id="rId13" w:history="1">
        <w:r w:rsidRPr="00A5769E">
          <w:rPr>
            <w:rStyle w:val="Hyperlink"/>
            <w:sz w:val="24"/>
            <w:szCs w:val="24"/>
          </w:rPr>
          <w:t>FAR 4.2102</w:t>
        </w:r>
      </w:hyperlink>
      <w:r w:rsidRPr="00A5769E">
        <w:rPr>
          <w:sz w:val="24"/>
          <w:szCs w:val="24"/>
        </w:rPr>
        <w:t>), and both parts also apply to commercial items (</w:t>
      </w:r>
      <w:hyperlink r:id="rId14" w:history="1">
        <w:r w:rsidRPr="00A5769E">
          <w:rPr>
            <w:rStyle w:val="Hyperlink"/>
            <w:sz w:val="24"/>
            <w:szCs w:val="24"/>
          </w:rPr>
          <w:t>FAR 12.301(d)(6)</w:t>
        </w:r>
      </w:hyperlink>
      <w:r w:rsidRPr="00A5769E">
        <w:rPr>
          <w:sz w:val="24"/>
          <w:szCs w:val="24"/>
        </w:rPr>
        <w:t>) as well as micro-purchases (</w:t>
      </w:r>
      <w:hyperlink r:id="rId15" w:history="1">
        <w:r w:rsidRPr="00A5769E">
          <w:rPr>
            <w:rStyle w:val="Hyperlink"/>
            <w:sz w:val="24"/>
            <w:szCs w:val="24"/>
          </w:rPr>
          <w:t>FAR 13.201(</w:t>
        </w:r>
        <w:proofErr w:type="spellStart"/>
        <w:r w:rsidRPr="00A5769E">
          <w:rPr>
            <w:rStyle w:val="Hyperlink"/>
            <w:sz w:val="24"/>
            <w:szCs w:val="24"/>
          </w:rPr>
          <w:t>i</w:t>
        </w:r>
        <w:proofErr w:type="spellEnd"/>
        <w:r w:rsidRPr="00A5769E">
          <w:rPr>
            <w:rStyle w:val="Hyperlink"/>
            <w:sz w:val="24"/>
            <w:szCs w:val="24"/>
          </w:rPr>
          <w:t>)</w:t>
        </w:r>
      </w:hyperlink>
      <w:r w:rsidRPr="00A5769E">
        <w:rPr>
          <w:sz w:val="24"/>
          <w:szCs w:val="24"/>
        </w:rPr>
        <w:t xml:space="preserve">). New representation provisions have been added at </w:t>
      </w:r>
      <w:hyperlink r:id="rId16" w:anchor="id1989I600I4C" w:history="1">
        <w:r w:rsidRPr="00A5769E">
          <w:rPr>
            <w:rStyle w:val="Hyperlink"/>
            <w:sz w:val="24"/>
            <w:szCs w:val="24"/>
          </w:rPr>
          <w:t>FAR 52.204-24 and 52.204-26</w:t>
        </w:r>
      </w:hyperlink>
      <w:r w:rsidRPr="00A5769E">
        <w:rPr>
          <w:sz w:val="24"/>
          <w:szCs w:val="24"/>
        </w:rPr>
        <w:t xml:space="preserve">, as well as a new reporting clause at </w:t>
      </w:r>
      <w:hyperlink r:id="rId17" w:anchor="id1989I600I4C" w:history="1">
        <w:r w:rsidRPr="00A5769E">
          <w:rPr>
            <w:rStyle w:val="Hyperlink"/>
            <w:sz w:val="24"/>
            <w:szCs w:val="24"/>
          </w:rPr>
          <w:t>FAR 52.204-25</w:t>
        </w:r>
      </w:hyperlink>
      <w:r w:rsidRPr="00A5769E">
        <w:rPr>
          <w:sz w:val="24"/>
          <w:szCs w:val="24"/>
        </w:rPr>
        <w:t>. Those provisions and clauses allow for vendors to represent whether they do or do not provide or use prohibited telecommunications equipment and services.</w:t>
      </w:r>
    </w:p>
    <w:p w14:paraId="2C3AD757" w14:textId="732EC520" w:rsidR="00A5769E" w:rsidRDefault="00A5769E" w:rsidP="00A5769E">
      <w:pPr>
        <w:rPr>
          <w:sz w:val="24"/>
          <w:szCs w:val="24"/>
        </w:rPr>
      </w:pPr>
      <w:r w:rsidRPr="00A5769E">
        <w:rPr>
          <w:sz w:val="24"/>
          <w:szCs w:val="24"/>
        </w:rPr>
        <w:t xml:space="preserve">For more information and resources, please check out the </w:t>
      </w:r>
      <w:hyperlink r:id="rId18" w:history="1">
        <w:r w:rsidRPr="00A5769E">
          <w:rPr>
            <w:rStyle w:val="Hyperlink"/>
            <w:sz w:val="24"/>
            <w:szCs w:val="24"/>
          </w:rPr>
          <w:t>DSAPS SharePoint site</w:t>
        </w:r>
      </w:hyperlink>
      <w:r w:rsidRPr="00A5769E">
        <w:rPr>
          <w:sz w:val="24"/>
          <w:szCs w:val="24"/>
        </w:rPr>
        <w:t xml:space="preserve"> at </w:t>
      </w:r>
      <w:hyperlink r:id="rId19" w:history="1">
        <w:r w:rsidRPr="00A5769E">
          <w:rPr>
            <w:rStyle w:val="Hyperlink"/>
            <w:sz w:val="24"/>
            <w:szCs w:val="24"/>
          </w:rPr>
          <w:t>https://oalmsps.od.nih.gov/OAMP/DSAPS/ASRB/SAPhD/SitePages/Home.aspx</w:t>
        </w:r>
      </w:hyperlink>
      <w:r w:rsidRPr="00A5769E">
        <w:rPr>
          <w:sz w:val="24"/>
          <w:szCs w:val="24"/>
        </w:rPr>
        <w:t xml:space="preserve">, under Tools (Best Practices), and in the “889 Prohibits Telecom Equipment &amp; Services Huawei, ZTE, </w:t>
      </w:r>
      <w:proofErr w:type="spellStart"/>
      <w:r w:rsidRPr="00A5769E">
        <w:rPr>
          <w:sz w:val="24"/>
          <w:szCs w:val="24"/>
        </w:rPr>
        <w:t>Dahua</w:t>
      </w:r>
      <w:proofErr w:type="spellEnd"/>
      <w:r w:rsidRPr="00A5769E">
        <w:rPr>
          <w:sz w:val="24"/>
          <w:szCs w:val="24"/>
        </w:rPr>
        <w:t xml:space="preserve">, </w:t>
      </w:r>
      <w:proofErr w:type="spellStart"/>
      <w:r w:rsidRPr="00A5769E">
        <w:rPr>
          <w:sz w:val="24"/>
          <w:szCs w:val="24"/>
        </w:rPr>
        <w:t>Hytea</w:t>
      </w:r>
      <w:proofErr w:type="spellEnd"/>
      <w:r w:rsidRPr="00A5769E">
        <w:rPr>
          <w:sz w:val="24"/>
          <w:szCs w:val="24"/>
        </w:rPr>
        <w:t>, &amp; Hangzhou” folder. This site will continue to be updated as more information comes in.</w:t>
      </w:r>
    </w:p>
    <w:p w14:paraId="644D5914" w14:textId="77777777" w:rsidR="00E50F52" w:rsidRPr="00A5769E" w:rsidRDefault="00E50F52" w:rsidP="00A5769E">
      <w:pPr>
        <w:rPr>
          <w:sz w:val="24"/>
          <w:szCs w:val="24"/>
        </w:rPr>
      </w:pPr>
    </w:p>
    <w:p w14:paraId="63523828" w14:textId="59484288" w:rsidR="00E168A5" w:rsidRPr="00A16A79" w:rsidRDefault="00E168A5" w:rsidP="00E50F52">
      <w:pPr>
        <w:pStyle w:val="Heading1"/>
      </w:pPr>
      <w:r w:rsidRPr="00A16A79">
        <w:t xml:space="preserve">COVID-19 Contract Admin Support  </w:t>
      </w:r>
    </w:p>
    <w:p w14:paraId="5C8C4482" w14:textId="108924AB" w:rsidR="00E168A5" w:rsidRDefault="00E168A5" w:rsidP="00E168A5">
      <w:pPr>
        <w:spacing w:line="240" w:lineRule="auto"/>
        <w:rPr>
          <w:sz w:val="24"/>
          <w:szCs w:val="24"/>
        </w:rPr>
      </w:pPr>
      <w:r w:rsidRPr="00E168A5">
        <w:rPr>
          <w:sz w:val="24"/>
          <w:szCs w:val="24"/>
        </w:rPr>
        <w:t>On January 31, 2020, in response to the Coronavirus Disease 2019 (COVID-19), Secretary Azar of the Department of Health and Human Services, under section 319 of the Public Health Service Act, determined that a public health emergency exists and has existed since January 27, 2020, nationwide</w:t>
      </w:r>
      <w:r>
        <w:rPr>
          <w:sz w:val="24"/>
          <w:szCs w:val="24"/>
        </w:rPr>
        <w:t xml:space="preserve"> (</w:t>
      </w:r>
      <w:r>
        <w:t xml:space="preserve">HHS Public Health Emergency Determination </w:t>
      </w:r>
      <w:hyperlink r:id="rId20" w:history="1">
        <w:r w:rsidRPr="00672A8C">
          <w:rPr>
            <w:rStyle w:val="Hyperlink"/>
          </w:rPr>
          <w:t>https://www.phe.gov/emergency/news/healthactions/phe/Pages/2019-nCoV.aspx</w:t>
        </w:r>
      </w:hyperlink>
      <w:r>
        <w:rPr>
          <w:sz w:val="24"/>
          <w:szCs w:val="24"/>
        </w:rPr>
        <w:t>)</w:t>
      </w:r>
      <w:r>
        <w:t>.</w:t>
      </w:r>
    </w:p>
    <w:p w14:paraId="01E5AC1A" w14:textId="4038A387" w:rsidR="00E168A5" w:rsidRPr="00E168A5" w:rsidRDefault="00E168A5" w:rsidP="00E168A5">
      <w:pPr>
        <w:spacing w:line="240" w:lineRule="auto"/>
        <w:rPr>
          <w:sz w:val="24"/>
          <w:szCs w:val="24"/>
        </w:rPr>
      </w:pPr>
      <w:r w:rsidRPr="00E168A5">
        <w:rPr>
          <w:sz w:val="24"/>
          <w:szCs w:val="24"/>
        </w:rPr>
        <w:t xml:space="preserve">In addition, several acquisition policies were distributed across the federal government.  These new COVID-19 policies provided emergency acquisition flexibilities and framework, which afforded the federal acquisition </w:t>
      </w:r>
      <w:r w:rsidRPr="00E168A5">
        <w:rPr>
          <w:sz w:val="24"/>
          <w:szCs w:val="24"/>
        </w:rPr>
        <w:lastRenderedPageBreak/>
        <w:t>community expedience in federal procurement processing.  As a result, the government spending trends spiked tremendously in response to COVID-19 response, requiring federal acquisition support.</w:t>
      </w:r>
    </w:p>
    <w:p w14:paraId="6308075B" w14:textId="57E65B77" w:rsidR="00E168A5" w:rsidRPr="00E168A5" w:rsidRDefault="00E168A5" w:rsidP="00E168A5">
      <w:pPr>
        <w:spacing w:line="240" w:lineRule="auto"/>
        <w:rPr>
          <w:sz w:val="24"/>
          <w:szCs w:val="24"/>
        </w:rPr>
      </w:pPr>
      <w:r w:rsidRPr="00E168A5">
        <w:rPr>
          <w:sz w:val="24"/>
          <w:szCs w:val="24"/>
        </w:rPr>
        <w:t>As early as March 2020, the Office of Logistics Acquisitions and Operations (OLAO), Office of Acquisitions (OA), began responding to the NIH acquisition needs in a variety of ways.  Our office quickly adopted and utilized the new policy framework for meeting the various NIH acquisition needs.  Since several new contracts have recently been written, as well as so many of the existing contracts have continued operational support in order to accomplish the NIH Mission during these crisis times, our staff has been responding to questions from customers regarding ‘</w:t>
      </w:r>
      <w:r w:rsidRPr="00E168A5">
        <w:rPr>
          <w:i/>
          <w:iCs/>
          <w:sz w:val="24"/>
          <w:szCs w:val="24"/>
        </w:rPr>
        <w:t>How do we manage the work while we all are teleworking</w:t>
      </w:r>
      <w:r w:rsidRPr="00E168A5">
        <w:rPr>
          <w:sz w:val="24"/>
          <w:szCs w:val="24"/>
        </w:rPr>
        <w:t>?’  We have illustrated some of the common themes:</w:t>
      </w:r>
    </w:p>
    <w:tbl>
      <w:tblPr>
        <w:tblStyle w:val="TableGrid"/>
        <w:tblW w:w="9540" w:type="dxa"/>
        <w:tblInd w:w="-5" w:type="dxa"/>
        <w:tblLook w:val="04A0" w:firstRow="1" w:lastRow="0" w:firstColumn="1" w:lastColumn="0" w:noHBand="0" w:noVBand="1"/>
      </w:tblPr>
      <w:tblGrid>
        <w:gridCol w:w="810"/>
        <w:gridCol w:w="8730"/>
      </w:tblGrid>
      <w:tr w:rsidR="00E168A5" w:rsidRPr="00E168A5" w14:paraId="63D383AC" w14:textId="77777777" w:rsidTr="00973F10">
        <w:tc>
          <w:tcPr>
            <w:tcW w:w="810" w:type="dxa"/>
          </w:tcPr>
          <w:p w14:paraId="460F2AD1" w14:textId="77777777" w:rsidR="00E168A5" w:rsidRPr="00E168A5" w:rsidRDefault="00E168A5" w:rsidP="00E168A5">
            <w:pPr>
              <w:spacing w:after="160"/>
              <w:rPr>
                <w:sz w:val="24"/>
                <w:szCs w:val="24"/>
              </w:rPr>
            </w:pPr>
            <w:r w:rsidRPr="00E168A5">
              <w:rPr>
                <w:sz w:val="24"/>
                <w:szCs w:val="24"/>
              </w:rPr>
              <w:t>1.</w:t>
            </w:r>
          </w:p>
        </w:tc>
        <w:tc>
          <w:tcPr>
            <w:tcW w:w="8730" w:type="dxa"/>
          </w:tcPr>
          <w:p w14:paraId="4EEA6EF7" w14:textId="77777777" w:rsidR="00E168A5" w:rsidRPr="00E168A5" w:rsidRDefault="00E168A5" w:rsidP="00E168A5">
            <w:pPr>
              <w:spacing w:after="160"/>
              <w:rPr>
                <w:sz w:val="24"/>
                <w:szCs w:val="24"/>
              </w:rPr>
            </w:pPr>
            <w:r w:rsidRPr="00E168A5">
              <w:rPr>
                <w:sz w:val="24"/>
                <w:szCs w:val="24"/>
              </w:rPr>
              <w:t xml:space="preserve">Contract/Task Order oversight by the Contracting Office Representative (CORs), particularly for Labor Hour Requirement: It has become very challenging to physically observe the work efforts of contractor employees, while we all are working remotely.  One recommendation is to check-in regularly with the contractor Program Manager concerning progress on work.  Be sure to carefully review any deliverables such as reports to verify that work is progressing.  </w:t>
            </w:r>
          </w:p>
          <w:p w14:paraId="7C910E03" w14:textId="77777777" w:rsidR="00E168A5" w:rsidRPr="00E168A5" w:rsidRDefault="00E168A5" w:rsidP="00E168A5">
            <w:pPr>
              <w:spacing w:after="160"/>
              <w:rPr>
                <w:sz w:val="24"/>
                <w:szCs w:val="24"/>
              </w:rPr>
            </w:pPr>
            <w:r w:rsidRPr="00E168A5">
              <w:rPr>
                <w:sz w:val="24"/>
                <w:szCs w:val="24"/>
              </w:rPr>
              <w:t>Another recommendation concerns invoice processing.  Invoice review is an important responsibility of a COR; particularly for labor hour type contracts and task orders. If the hours reported do not seem to match the work output, the COR is empowered to question and/or reject the hours reported with the contractor.  In addition, please inform the contracting officer if there are any invoice discrepancies.</w:t>
            </w:r>
          </w:p>
        </w:tc>
      </w:tr>
      <w:tr w:rsidR="00E168A5" w:rsidRPr="00E168A5" w14:paraId="420702DC" w14:textId="77777777" w:rsidTr="00973F10">
        <w:tc>
          <w:tcPr>
            <w:tcW w:w="810" w:type="dxa"/>
          </w:tcPr>
          <w:p w14:paraId="446F3D9E" w14:textId="77777777" w:rsidR="00E168A5" w:rsidRPr="00E168A5" w:rsidRDefault="00E168A5" w:rsidP="00E168A5">
            <w:pPr>
              <w:spacing w:after="160"/>
              <w:rPr>
                <w:sz w:val="24"/>
                <w:szCs w:val="24"/>
              </w:rPr>
            </w:pPr>
            <w:r w:rsidRPr="00E168A5">
              <w:rPr>
                <w:sz w:val="24"/>
                <w:szCs w:val="24"/>
              </w:rPr>
              <w:t>2.</w:t>
            </w:r>
          </w:p>
        </w:tc>
        <w:tc>
          <w:tcPr>
            <w:tcW w:w="8730" w:type="dxa"/>
          </w:tcPr>
          <w:p w14:paraId="7A9BB1F5" w14:textId="77777777" w:rsidR="00E168A5" w:rsidRPr="00E168A5" w:rsidRDefault="00E168A5" w:rsidP="00E168A5">
            <w:pPr>
              <w:spacing w:after="160"/>
              <w:rPr>
                <w:sz w:val="24"/>
                <w:szCs w:val="24"/>
              </w:rPr>
            </w:pPr>
            <w:r w:rsidRPr="00E168A5">
              <w:rPr>
                <w:sz w:val="24"/>
                <w:szCs w:val="24"/>
              </w:rPr>
              <w:t xml:space="preserve">Avoiding the pitfalls of personal services:  As a COR, your responsibility is to manage the technical side of the contract/order; not manage contractor employees.  If there are contractor employee issues, bring them to the attention of the contractor employer (such as the contractor Program Manager) and the contracting officer for resolution.  </w:t>
            </w:r>
          </w:p>
        </w:tc>
      </w:tr>
      <w:tr w:rsidR="00E168A5" w:rsidRPr="00E168A5" w14:paraId="42317EE0" w14:textId="77777777" w:rsidTr="00973F10">
        <w:tc>
          <w:tcPr>
            <w:tcW w:w="810" w:type="dxa"/>
          </w:tcPr>
          <w:p w14:paraId="22057955" w14:textId="77777777" w:rsidR="00E168A5" w:rsidRPr="00E168A5" w:rsidRDefault="00E168A5" w:rsidP="00E168A5">
            <w:pPr>
              <w:spacing w:after="160"/>
              <w:rPr>
                <w:sz w:val="24"/>
                <w:szCs w:val="24"/>
              </w:rPr>
            </w:pPr>
            <w:r w:rsidRPr="00E168A5">
              <w:rPr>
                <w:sz w:val="24"/>
                <w:szCs w:val="24"/>
              </w:rPr>
              <w:t>3.</w:t>
            </w:r>
          </w:p>
        </w:tc>
        <w:tc>
          <w:tcPr>
            <w:tcW w:w="8730" w:type="dxa"/>
          </w:tcPr>
          <w:p w14:paraId="470C6953" w14:textId="77777777" w:rsidR="00E168A5" w:rsidRPr="00E168A5" w:rsidRDefault="00E168A5" w:rsidP="00E168A5">
            <w:pPr>
              <w:spacing w:after="160"/>
              <w:rPr>
                <w:sz w:val="24"/>
                <w:szCs w:val="24"/>
              </w:rPr>
            </w:pPr>
            <w:r w:rsidRPr="00E168A5">
              <w:rPr>
                <w:sz w:val="24"/>
                <w:szCs w:val="24"/>
              </w:rPr>
              <w:t xml:space="preserve">Same standards apply on contract whether in person or virtual: Keeping in mind that work efforts must continue, we have encouraged our CORs to get creative on service delivery.  Where applicable, we have been working with CORs to revise the contract scope for optimal service delivery in this virtual environment.  </w:t>
            </w:r>
          </w:p>
        </w:tc>
      </w:tr>
    </w:tbl>
    <w:p w14:paraId="26714AE0" w14:textId="0BCF2CF6" w:rsidR="00E168A5" w:rsidRPr="00D733A4" w:rsidRDefault="00E168A5" w:rsidP="00556AD2">
      <w:pPr>
        <w:spacing w:line="240" w:lineRule="auto"/>
        <w:rPr>
          <w:sz w:val="24"/>
          <w:szCs w:val="24"/>
        </w:rPr>
      </w:pPr>
      <w:r w:rsidRPr="00E168A5">
        <w:rPr>
          <w:sz w:val="24"/>
          <w:szCs w:val="24"/>
        </w:rPr>
        <w:t>We are currently living and working through an unprecedented time in modern US history.  With proper communications, patience, and creativity your acquisition can succeed through challenging periods.</w:t>
      </w:r>
    </w:p>
    <w:p w14:paraId="76556170" w14:textId="77777777" w:rsidR="00D733A4" w:rsidRDefault="00D733A4" w:rsidP="00556AD2">
      <w:pPr>
        <w:spacing w:after="0" w:line="240" w:lineRule="auto"/>
      </w:pPr>
    </w:p>
    <w:p w14:paraId="44880956" w14:textId="732E327B" w:rsidR="00D733A4" w:rsidRPr="00A16A79" w:rsidRDefault="00E168A5" w:rsidP="00E50F52">
      <w:pPr>
        <w:pStyle w:val="Heading1"/>
      </w:pPr>
      <w:r w:rsidRPr="00A16A79">
        <w:t>New OLAO Office of Acquisition Director</w:t>
      </w:r>
    </w:p>
    <w:p w14:paraId="1423B646" w14:textId="3B88C90F" w:rsidR="00E168A5" w:rsidRPr="00E168A5" w:rsidRDefault="00E168A5" w:rsidP="00E168A5">
      <w:pPr>
        <w:spacing w:before="120" w:after="120" w:line="240" w:lineRule="auto"/>
        <w:rPr>
          <w:sz w:val="24"/>
          <w:szCs w:val="24"/>
        </w:rPr>
      </w:pPr>
      <w:r w:rsidRPr="00E168A5">
        <w:rPr>
          <w:sz w:val="24"/>
          <w:szCs w:val="24"/>
        </w:rPr>
        <w:t>In July 2019, the Office of Logistics, Acquisitions and Operations (OLAO) welcomed a new Director of the Office of Acquisitions.  OLAO-OA serves as one of three divisions under the OLAO umbrella.  Ms. Darnese Wilkerson immediately engaged with OLAO customers and stakeholders and to begin decoding longstanding concerns, in order to effectively make a difference in the operational interworking of the organization.  While Ms. Wilkerson is new to the NIH family, she has been with the federal government since 2002, working for several federal agencies in the contracting capacity.  Prior to her federal career, she worked with various private industry, government contracting firms (Booz, Allen &amp; Hamilton, Lockheed Martin, and a few others).</w:t>
      </w:r>
    </w:p>
    <w:p w14:paraId="39144A56" w14:textId="098FD288" w:rsidR="00E168A5" w:rsidRPr="00E168A5" w:rsidRDefault="00E820AA" w:rsidP="00E168A5">
      <w:pPr>
        <w:spacing w:before="120" w:after="120" w:line="240" w:lineRule="auto"/>
        <w:rPr>
          <w:sz w:val="24"/>
          <w:szCs w:val="24"/>
        </w:rPr>
      </w:pPr>
      <w:r w:rsidRPr="00E168A5">
        <w:rPr>
          <w:noProof/>
          <w:sz w:val="24"/>
          <w:szCs w:val="24"/>
        </w:rPr>
        <w:lastRenderedPageBreak/>
        <w:drawing>
          <wp:anchor distT="0" distB="0" distL="114300" distR="114300" simplePos="0" relativeHeight="251660288" behindDoc="0" locked="0" layoutInCell="1" allowOverlap="1" wp14:anchorId="62C4DDE8" wp14:editId="35D7D1DC">
            <wp:simplePos x="0" y="0"/>
            <wp:positionH relativeFrom="column">
              <wp:posOffset>4702175</wp:posOffset>
            </wp:positionH>
            <wp:positionV relativeFrom="paragraph">
              <wp:posOffset>1318895</wp:posOffset>
            </wp:positionV>
            <wp:extent cx="2077085" cy="12573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77085" cy="1257300"/>
                    </a:xfrm>
                    <a:prstGeom prst="rect">
                      <a:avLst/>
                    </a:prstGeom>
                  </pic:spPr>
                </pic:pic>
              </a:graphicData>
            </a:graphic>
            <wp14:sizeRelH relativeFrom="margin">
              <wp14:pctWidth>0</wp14:pctWidth>
            </wp14:sizeRelH>
            <wp14:sizeRelV relativeFrom="margin">
              <wp14:pctHeight>0</wp14:pctHeight>
            </wp14:sizeRelV>
          </wp:anchor>
        </w:drawing>
      </w:r>
      <w:r w:rsidR="00E168A5" w:rsidRPr="00E168A5">
        <w:rPr>
          <w:sz w:val="24"/>
          <w:szCs w:val="24"/>
        </w:rPr>
        <w:t>Ms. Wilkerson quickly introduced her leadership platform entitled the VISION2020, which represents a lot of the concepts suggested in the General Accountability Office (GAO) “Best Practices” in Leading Acquisition Management</w:t>
      </w:r>
      <w:r w:rsidR="00E168A5">
        <w:rPr>
          <w:sz w:val="24"/>
          <w:szCs w:val="24"/>
        </w:rPr>
        <w:t xml:space="preserve"> (</w:t>
      </w:r>
      <w:r w:rsidR="00E168A5" w:rsidRPr="008857D8">
        <w:t xml:space="preserve"> </w:t>
      </w:r>
      <w:hyperlink r:id="rId22" w:anchor="t=0" w:history="1">
        <w:r w:rsidR="00E168A5" w:rsidRPr="008857D8">
          <w:rPr>
            <w:rStyle w:val="Hyperlink"/>
          </w:rPr>
          <w:t>https://www.gao.gov/key_issues/leading_practices_acquisition_management/issue_summary#t=0</w:t>
        </w:r>
      </w:hyperlink>
      <w:r w:rsidR="00E168A5">
        <w:rPr>
          <w:rStyle w:val="Hyperlink"/>
        </w:rPr>
        <w:t>)</w:t>
      </w:r>
      <w:r w:rsidR="00E168A5" w:rsidRPr="00E168A5">
        <w:rPr>
          <w:sz w:val="24"/>
          <w:szCs w:val="24"/>
        </w:rPr>
        <w:t>.  It is essential for federal acquisition contingencies to be managed in an efficient and effective manner, based on four interrelated elements that promotes an efficient and accountable acquisition environment; Organizational Alignment and Leadership, Policies and Processes, Human Capital's Acquisition Workforce, Knowledge and Information Management.</w:t>
      </w:r>
    </w:p>
    <w:p w14:paraId="5A7493D7" w14:textId="3F263E7F" w:rsidR="00E168A5" w:rsidRPr="00E168A5" w:rsidRDefault="00E168A5" w:rsidP="00E168A5">
      <w:pPr>
        <w:spacing w:before="120" w:after="120" w:line="240" w:lineRule="auto"/>
        <w:rPr>
          <w:sz w:val="24"/>
          <w:szCs w:val="24"/>
        </w:rPr>
      </w:pPr>
      <w:r w:rsidRPr="00E168A5">
        <w:rPr>
          <w:sz w:val="24"/>
          <w:szCs w:val="24"/>
        </w:rPr>
        <w:t>Therefore, the new direction consists of three (3) main points: (1) Staff Development to build office capacity, (2) Policy Enhancement to improve consistency, (3) Leverage Technology to improve efficiency.  As suggested by the GAO Best Practices, the organization established a clear Mission and Vision for the organization, which serves as the nucleus for the organization’s new direction.</w:t>
      </w:r>
    </w:p>
    <w:p w14:paraId="7140E9C3" w14:textId="404A35B1" w:rsidR="00E168A5" w:rsidRPr="00E168A5" w:rsidRDefault="00E820AA" w:rsidP="00E168A5">
      <w:pPr>
        <w:spacing w:before="120" w:after="120" w:line="240" w:lineRule="auto"/>
        <w:rPr>
          <w:sz w:val="24"/>
          <w:szCs w:val="24"/>
        </w:rPr>
      </w:pPr>
      <w:r w:rsidRPr="00E168A5">
        <w:rPr>
          <w:noProof/>
          <w:sz w:val="24"/>
          <w:szCs w:val="24"/>
        </w:rPr>
        <w:drawing>
          <wp:anchor distT="0" distB="0" distL="114300" distR="114300" simplePos="0" relativeHeight="251659264" behindDoc="0" locked="0" layoutInCell="1" allowOverlap="1" wp14:anchorId="57BC91B2" wp14:editId="238C54EE">
            <wp:simplePos x="0" y="0"/>
            <wp:positionH relativeFrom="margin">
              <wp:posOffset>1628775</wp:posOffset>
            </wp:positionH>
            <wp:positionV relativeFrom="paragraph">
              <wp:posOffset>1943100</wp:posOffset>
            </wp:positionV>
            <wp:extent cx="3575050" cy="1667510"/>
            <wp:effectExtent l="0" t="0" r="6350" b="889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75050" cy="1667510"/>
                    </a:xfrm>
                    <a:prstGeom prst="rect">
                      <a:avLst/>
                    </a:prstGeom>
                  </pic:spPr>
                </pic:pic>
              </a:graphicData>
            </a:graphic>
            <wp14:sizeRelH relativeFrom="margin">
              <wp14:pctWidth>0</wp14:pctWidth>
            </wp14:sizeRelH>
            <wp14:sizeRelV relativeFrom="margin">
              <wp14:pctHeight>0</wp14:pctHeight>
            </wp14:sizeRelV>
          </wp:anchor>
        </w:drawing>
      </w:r>
      <w:r w:rsidR="00E168A5" w:rsidRPr="00E168A5">
        <w:rPr>
          <w:sz w:val="24"/>
          <w:szCs w:val="24"/>
        </w:rPr>
        <w:t>With only a few short months remaining in this fiscal year, the office is on par to award record numbers this Fiscal Year 2020.  For Fiscal Year 2019, the OLAO-OA processed nearly 13,000 actions valued at nearly $500</w:t>
      </w:r>
      <w:r w:rsidR="004A6979">
        <w:rPr>
          <w:sz w:val="24"/>
          <w:szCs w:val="24"/>
        </w:rPr>
        <w:t xml:space="preserve"> m</w:t>
      </w:r>
      <w:r w:rsidR="00E168A5" w:rsidRPr="00E168A5">
        <w:rPr>
          <w:sz w:val="24"/>
          <w:szCs w:val="24"/>
        </w:rPr>
        <w:t>illion; contract awards that are critical to NIH’s Mission.  This year, the organization awarded a new NIH-wide contract vehicle for Patent and Legal Support. This contract is in support of Patenting at NIH for its novel discoveries that could lead to inventions under patent statutes (35 U.S.C.). Inventions may be patented in the U.S. and worldwide. Patenting and licensing of Government inventions is essential to entice commercial entities to invest the resources necessary to develop discoveries and technologies for public access. Efforts may include, for example, biochemistry, molecular biology, nanotechnology as it effects biological systems, diagnostics, therapeutics, cell biology, genetics/genomics/epigenetics, proteomics, recombinant technology, gene editing, anatomy and physiology, immunology, and vaccines.</w:t>
      </w:r>
    </w:p>
    <w:p w14:paraId="65338858" w14:textId="0CFEF569" w:rsidR="00E168A5" w:rsidRPr="00E50F52" w:rsidRDefault="00E168A5" w:rsidP="00556AD2">
      <w:pPr>
        <w:spacing w:before="120" w:after="120" w:line="240" w:lineRule="auto"/>
        <w:rPr>
          <w:rFonts w:ascii="Times New Roman" w:hAnsi="Times New Roman" w:cs="Times New Roman"/>
          <w:sz w:val="24"/>
          <w:szCs w:val="24"/>
        </w:rPr>
      </w:pPr>
      <w:r w:rsidRPr="00E168A5">
        <w:rPr>
          <w:sz w:val="24"/>
          <w:szCs w:val="24"/>
        </w:rPr>
        <w:t>In addition to the office’s mission of awarding contract solutions that create economies of scale to be leveraged for customer-focused mission support, the office has also been very busy in Corona Virus (COVID) support, to include some of the Department’s communication needs, as well as critical NIH operational support needs.  As the office manages the various challenges of the virtual workplace, OLAO-OA remains engaged and poised to respond to NIH Acquisition Workforce’s contracting needs.</w:t>
      </w:r>
    </w:p>
    <w:p w14:paraId="31DB07A1" w14:textId="77777777" w:rsidR="00CD557B" w:rsidRDefault="00CD557B" w:rsidP="00556AD2">
      <w:pPr>
        <w:spacing w:after="0" w:line="240" w:lineRule="auto"/>
        <w:rPr>
          <w:rFonts w:eastAsia="Calibri" w:cstheme="minorHAnsi"/>
          <w:sz w:val="24"/>
          <w:szCs w:val="24"/>
        </w:rPr>
      </w:pPr>
    </w:p>
    <w:p w14:paraId="66E2B6DB" w14:textId="77777777" w:rsidR="00E50F52" w:rsidRDefault="00E820AA" w:rsidP="00E50F52">
      <w:pPr>
        <w:pStyle w:val="Heading1"/>
        <w:spacing w:after="0"/>
      </w:pPr>
      <w:r w:rsidRPr="00A16A79">
        <w:t xml:space="preserve">OLAO-OA Engages in NIH and HHS Agency-wide </w:t>
      </w:r>
    </w:p>
    <w:p w14:paraId="5F04CCDF" w14:textId="2C196FCC" w:rsidR="00BA5574" w:rsidRPr="00A16A79" w:rsidRDefault="00E820AA" w:rsidP="00E50F52">
      <w:pPr>
        <w:pStyle w:val="Heading1"/>
        <w:spacing w:after="0"/>
        <w:rPr>
          <w:rFonts w:ascii="Calibri" w:hAnsi="Calibri" w:cs="Times New Roman"/>
        </w:rPr>
      </w:pPr>
      <w:r w:rsidRPr="00A16A79">
        <w:t>Mission Support Opportunities</w:t>
      </w:r>
    </w:p>
    <w:p w14:paraId="19630B2F" w14:textId="7B81ACC7" w:rsidR="00BA5574" w:rsidRDefault="00E820AA" w:rsidP="00E50F52">
      <w:pPr>
        <w:spacing w:before="240" w:line="240" w:lineRule="auto"/>
        <w:rPr>
          <w:rFonts w:ascii="Calibri" w:eastAsia="Calibri" w:hAnsi="Calibri" w:cs="Calibri"/>
          <w:sz w:val="24"/>
          <w:szCs w:val="24"/>
        </w:rPr>
      </w:pPr>
      <w:r>
        <w:rPr>
          <w:rFonts w:ascii="Calibri" w:eastAsia="Calibri" w:hAnsi="Calibri" w:cs="Calibri"/>
          <w:sz w:val="24"/>
          <w:szCs w:val="24"/>
        </w:rPr>
        <w:t>Those are among the several agency-wide mission support programs offered by NIH and HHS:</w:t>
      </w:r>
    </w:p>
    <w:p w14:paraId="064E9CB3" w14:textId="77777777" w:rsidR="00E820AA" w:rsidRDefault="00E820AA" w:rsidP="00E820AA">
      <w:pPr>
        <w:pStyle w:val="ListParagraph"/>
        <w:numPr>
          <w:ilvl w:val="0"/>
          <w:numId w:val="6"/>
        </w:numPr>
        <w:rPr>
          <w:rFonts w:eastAsia="Calibri"/>
          <w:sz w:val="24"/>
          <w:szCs w:val="24"/>
        </w:rPr>
      </w:pPr>
      <w:r w:rsidRPr="00E820AA">
        <w:rPr>
          <w:rFonts w:eastAsia="Calibri"/>
          <w:sz w:val="24"/>
          <w:szCs w:val="24"/>
        </w:rPr>
        <w:t>Long-term Administrative Support Contract (LTASCII)</w:t>
      </w:r>
    </w:p>
    <w:p w14:paraId="4FDC640F" w14:textId="5CEB585D" w:rsidR="00E820AA" w:rsidRDefault="00E820AA" w:rsidP="00E820AA">
      <w:pPr>
        <w:pStyle w:val="ListParagraph"/>
        <w:numPr>
          <w:ilvl w:val="0"/>
          <w:numId w:val="6"/>
        </w:numPr>
        <w:rPr>
          <w:rFonts w:eastAsia="Calibri"/>
          <w:sz w:val="24"/>
          <w:szCs w:val="24"/>
        </w:rPr>
      </w:pPr>
      <w:r w:rsidRPr="00E820AA">
        <w:rPr>
          <w:rFonts w:eastAsia="Calibri"/>
          <w:sz w:val="24"/>
          <w:szCs w:val="24"/>
        </w:rPr>
        <w:t xml:space="preserve">BPSS </w:t>
      </w:r>
      <w:r>
        <w:rPr>
          <w:rFonts w:eastAsia="Calibri"/>
          <w:sz w:val="24"/>
          <w:szCs w:val="24"/>
        </w:rPr>
        <w:t xml:space="preserve">- </w:t>
      </w:r>
      <w:r w:rsidRPr="00E820AA">
        <w:rPr>
          <w:rFonts w:eastAsia="Calibri"/>
          <w:sz w:val="24"/>
          <w:szCs w:val="24"/>
        </w:rPr>
        <w:t xml:space="preserve">Business and Profession Support Services contract for the support of NIH wide professional services.  </w:t>
      </w:r>
    </w:p>
    <w:p w14:paraId="4AC6F3DB" w14:textId="351ACA69" w:rsidR="00E820AA" w:rsidRDefault="00E820AA" w:rsidP="00E820AA">
      <w:pPr>
        <w:pStyle w:val="ListParagraph"/>
        <w:numPr>
          <w:ilvl w:val="0"/>
          <w:numId w:val="6"/>
        </w:numPr>
        <w:rPr>
          <w:rFonts w:eastAsia="Calibri"/>
          <w:sz w:val="24"/>
          <w:szCs w:val="24"/>
        </w:rPr>
      </w:pPr>
      <w:r w:rsidRPr="00E820AA">
        <w:rPr>
          <w:rFonts w:eastAsia="Calibri"/>
          <w:sz w:val="24"/>
          <w:szCs w:val="24"/>
        </w:rPr>
        <w:lastRenderedPageBreak/>
        <w:t xml:space="preserve">PICs - Public Information and Communication services contract for support of NIH Wide communication efforts. </w:t>
      </w:r>
    </w:p>
    <w:p w14:paraId="4B1E757E" w14:textId="21423478" w:rsidR="004A6979" w:rsidRPr="00E50F52" w:rsidRDefault="00E820AA" w:rsidP="00E50F52">
      <w:pPr>
        <w:pStyle w:val="ListParagraph"/>
        <w:numPr>
          <w:ilvl w:val="0"/>
          <w:numId w:val="6"/>
        </w:numPr>
        <w:spacing w:after="120"/>
        <w:contextualSpacing w:val="0"/>
        <w:rPr>
          <w:rFonts w:eastAsia="Calibri"/>
          <w:sz w:val="24"/>
          <w:szCs w:val="24"/>
        </w:rPr>
      </w:pPr>
      <w:r w:rsidRPr="00E820AA">
        <w:rPr>
          <w:rFonts w:eastAsia="Calibri"/>
          <w:sz w:val="24"/>
          <w:szCs w:val="24"/>
        </w:rPr>
        <w:t>NIH Conference, Administrative and Travel Services Contract (NIHCATSIII)</w:t>
      </w:r>
    </w:p>
    <w:p w14:paraId="410D6C7E" w14:textId="61C12E6A" w:rsidR="00E820AA" w:rsidRPr="00A16A79" w:rsidRDefault="00E820AA" w:rsidP="00E820AA">
      <w:pPr>
        <w:spacing w:line="240" w:lineRule="auto"/>
        <w:rPr>
          <w:rFonts w:ascii="Calibri" w:eastAsia="Calibri" w:hAnsi="Calibri" w:cs="Calibri"/>
          <w:b/>
          <w:bCs/>
          <w:sz w:val="24"/>
          <w:szCs w:val="24"/>
        </w:rPr>
      </w:pPr>
      <w:r w:rsidRPr="00A16A79">
        <w:rPr>
          <w:rFonts w:ascii="Calibri" w:eastAsia="Calibri" w:hAnsi="Calibri" w:cs="Calibri"/>
          <w:b/>
          <w:bCs/>
          <w:sz w:val="24"/>
          <w:szCs w:val="24"/>
        </w:rPr>
        <w:t>LTASC II</w:t>
      </w:r>
    </w:p>
    <w:p w14:paraId="4FBBAF51" w14:textId="21FFE0C1" w:rsidR="00E820AA" w:rsidRPr="00E820AA" w:rsidRDefault="004A6979" w:rsidP="00E820AA">
      <w:pPr>
        <w:spacing w:line="240" w:lineRule="auto"/>
        <w:rPr>
          <w:rFonts w:ascii="Calibri" w:eastAsia="Calibri" w:hAnsi="Calibri" w:cs="Calibri"/>
          <w:sz w:val="24"/>
          <w:szCs w:val="24"/>
        </w:rPr>
      </w:pPr>
      <w:r w:rsidRPr="00E820AA">
        <w:rPr>
          <w:rFonts w:ascii="Calibri" w:eastAsia="Calibri" w:hAnsi="Calibri" w:cs="Calibri"/>
          <w:noProof/>
          <w:sz w:val="24"/>
          <w:szCs w:val="24"/>
        </w:rPr>
        <w:drawing>
          <wp:anchor distT="0" distB="0" distL="114300" distR="114300" simplePos="0" relativeHeight="251662336" behindDoc="0" locked="0" layoutInCell="1" allowOverlap="1" wp14:anchorId="387FC5EE" wp14:editId="705E03B5">
            <wp:simplePos x="0" y="0"/>
            <wp:positionH relativeFrom="margin">
              <wp:align>center</wp:align>
            </wp:positionH>
            <wp:positionV relativeFrom="paragraph">
              <wp:posOffset>1684020</wp:posOffset>
            </wp:positionV>
            <wp:extent cx="3910330" cy="2495550"/>
            <wp:effectExtent l="0" t="0" r="0" b="0"/>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SC by customer.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10330" cy="2495550"/>
                    </a:xfrm>
                    <a:prstGeom prst="rect">
                      <a:avLst/>
                    </a:prstGeom>
                  </pic:spPr>
                </pic:pic>
              </a:graphicData>
            </a:graphic>
            <wp14:sizeRelH relativeFrom="margin">
              <wp14:pctWidth>0</wp14:pctWidth>
            </wp14:sizeRelH>
            <wp14:sizeRelV relativeFrom="margin">
              <wp14:pctHeight>0</wp14:pctHeight>
            </wp14:sizeRelV>
          </wp:anchor>
        </w:drawing>
      </w:r>
      <w:r w:rsidR="00E820AA" w:rsidRPr="00E820AA">
        <w:rPr>
          <w:rFonts w:ascii="Calibri" w:eastAsia="Calibri" w:hAnsi="Calibri" w:cs="Calibri"/>
          <w:sz w:val="24"/>
          <w:szCs w:val="24"/>
        </w:rPr>
        <w:t>The Long-Term Administrative Support Contract II (LTASC II) is a small business set aside IDIQ contract that can be used to obtain commercially provided administrative services on a long-term basis (e.g. at least 12 months on a task order basis) across all Institutes, Centers and Offices (ICs) within the National Institutes of Health (NIH). The LTASC contract vehicle was established in 2010 as a result of the NIH’s need for assistance to assess options to address A-76 competitive sourcing requirements for positions under evaluation. Administrative duties under LTASC II include a range from generic clerical skills (e.g. fielding phone calls, scheduling meetings, taking minutes, generating reports) to administrative duties for executive management. LTASC II will expire in early January 2021, and the LTASC Team is working towards the next iteration – LTASC III.</w:t>
      </w:r>
    </w:p>
    <w:p w14:paraId="6E418612" w14:textId="24DE2FB3" w:rsidR="00E820AA" w:rsidRPr="00E820AA" w:rsidRDefault="00E820AA" w:rsidP="00E820AA">
      <w:pPr>
        <w:spacing w:line="240" w:lineRule="auto"/>
        <w:rPr>
          <w:rFonts w:ascii="Calibri" w:eastAsia="Calibri" w:hAnsi="Calibri" w:cs="Calibri"/>
          <w:sz w:val="24"/>
          <w:szCs w:val="24"/>
        </w:rPr>
      </w:pPr>
    </w:p>
    <w:p w14:paraId="62C163F6" w14:textId="08018580" w:rsidR="00E820AA" w:rsidRPr="00A16A79" w:rsidRDefault="00E820AA" w:rsidP="00E820AA">
      <w:pPr>
        <w:spacing w:line="240" w:lineRule="auto"/>
        <w:rPr>
          <w:rFonts w:ascii="Calibri" w:eastAsia="Calibri" w:hAnsi="Calibri" w:cs="Calibri"/>
          <w:b/>
          <w:bCs/>
          <w:sz w:val="24"/>
          <w:szCs w:val="24"/>
        </w:rPr>
      </w:pPr>
      <w:r w:rsidRPr="00A16A79">
        <w:rPr>
          <w:rFonts w:ascii="Calibri" w:eastAsia="Calibri" w:hAnsi="Calibri" w:cs="Calibri"/>
          <w:b/>
          <w:bCs/>
          <w:sz w:val="24"/>
          <w:szCs w:val="24"/>
        </w:rPr>
        <w:t>NIHCATS III</w:t>
      </w:r>
    </w:p>
    <w:p w14:paraId="6680DBCF" w14:textId="27864266" w:rsidR="00E820AA" w:rsidRPr="00E820AA" w:rsidRDefault="004A6979" w:rsidP="00E820AA">
      <w:pPr>
        <w:spacing w:line="240" w:lineRule="auto"/>
        <w:rPr>
          <w:rFonts w:ascii="Calibri" w:eastAsia="Calibri" w:hAnsi="Calibri" w:cs="Calibri"/>
          <w:sz w:val="24"/>
          <w:szCs w:val="24"/>
        </w:rPr>
      </w:pPr>
      <w:r w:rsidRPr="00E820AA">
        <w:rPr>
          <w:rFonts w:ascii="Calibri" w:eastAsia="Calibri" w:hAnsi="Calibri" w:cs="Calibri"/>
          <w:noProof/>
          <w:sz w:val="24"/>
          <w:szCs w:val="24"/>
        </w:rPr>
        <w:drawing>
          <wp:anchor distT="0" distB="0" distL="114300" distR="114300" simplePos="0" relativeHeight="251663360" behindDoc="0" locked="0" layoutInCell="1" allowOverlap="1" wp14:anchorId="570DEAF1" wp14:editId="2D13A6C4">
            <wp:simplePos x="0" y="0"/>
            <wp:positionH relativeFrom="margin">
              <wp:align>center</wp:align>
            </wp:positionH>
            <wp:positionV relativeFrom="paragraph">
              <wp:posOffset>1309370</wp:posOffset>
            </wp:positionV>
            <wp:extent cx="4104005" cy="2609850"/>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CATSIII by customer.PNG"/>
                    <pic:cNvPicPr/>
                  </pic:nvPicPr>
                  <pic:blipFill>
                    <a:blip r:embed="rId25">
                      <a:extLst>
                        <a:ext uri="{28A0092B-C50C-407E-A947-70E740481C1C}">
                          <a14:useLocalDpi xmlns:a14="http://schemas.microsoft.com/office/drawing/2010/main" val="0"/>
                        </a:ext>
                      </a:extLst>
                    </a:blip>
                    <a:stretch>
                      <a:fillRect/>
                    </a:stretch>
                  </pic:blipFill>
                  <pic:spPr>
                    <a:xfrm>
                      <a:off x="0" y="0"/>
                      <a:ext cx="4104005" cy="2609850"/>
                    </a:xfrm>
                    <a:prstGeom prst="rect">
                      <a:avLst/>
                    </a:prstGeom>
                  </pic:spPr>
                </pic:pic>
              </a:graphicData>
            </a:graphic>
            <wp14:sizeRelH relativeFrom="margin">
              <wp14:pctWidth>0</wp14:pctWidth>
            </wp14:sizeRelH>
            <wp14:sizeRelV relativeFrom="margin">
              <wp14:pctHeight>0</wp14:pctHeight>
            </wp14:sizeRelV>
          </wp:anchor>
        </w:drawing>
      </w:r>
      <w:r w:rsidR="00E820AA" w:rsidRPr="00E820AA">
        <w:rPr>
          <w:rFonts w:ascii="Calibri" w:eastAsia="Calibri" w:hAnsi="Calibri" w:cs="Calibri"/>
          <w:sz w:val="24"/>
          <w:szCs w:val="24"/>
        </w:rPr>
        <w:t xml:space="preserve">The National Institutes of Health Conference, Administrative, and Travel Services (NIHCATS) III contract vehicle is a small business set aside IDIQ that offers a wide range of administrative, meeting, conference, and travel support services in the U.S. and abroad for all federal agencies. The mission of the NIHCATS III is to provide the right services, qualified external talent, and facilities not otherwise provided by the Government for customers </w:t>
      </w:r>
      <w:r w:rsidR="00E820AA" w:rsidRPr="00E820AA">
        <w:rPr>
          <w:rFonts w:ascii="Calibri" w:eastAsia="Calibri" w:hAnsi="Calibri" w:cs="Calibri"/>
          <w:sz w:val="24"/>
          <w:szCs w:val="24"/>
        </w:rPr>
        <w:lastRenderedPageBreak/>
        <w:t>across the federal space.  In fact, NIHCATS II is HHS’s strategic sourcing contract for conference support, and its use was encouraged by HHS leadership.</w:t>
      </w:r>
    </w:p>
    <w:p w14:paraId="787D8916" w14:textId="6A300B53" w:rsidR="00E820AA" w:rsidRPr="00A16A79" w:rsidRDefault="00E820AA" w:rsidP="00E820AA">
      <w:pPr>
        <w:spacing w:line="240" w:lineRule="auto"/>
        <w:rPr>
          <w:rFonts w:ascii="Calibri" w:eastAsia="Calibri" w:hAnsi="Calibri" w:cs="Calibri"/>
          <w:b/>
          <w:bCs/>
          <w:sz w:val="24"/>
          <w:szCs w:val="24"/>
        </w:rPr>
      </w:pPr>
      <w:r w:rsidRPr="00A16A79">
        <w:rPr>
          <w:rFonts w:ascii="Calibri" w:eastAsia="Calibri" w:hAnsi="Calibri" w:cs="Calibri"/>
          <w:b/>
          <w:bCs/>
          <w:sz w:val="24"/>
          <w:szCs w:val="24"/>
        </w:rPr>
        <w:t>PICS II</w:t>
      </w:r>
    </w:p>
    <w:p w14:paraId="0300F89F" w14:textId="64AE13AD" w:rsidR="00E820AA" w:rsidRPr="00E820AA" w:rsidRDefault="004A6979" w:rsidP="00E820AA">
      <w:pPr>
        <w:spacing w:line="240" w:lineRule="auto"/>
        <w:rPr>
          <w:rFonts w:ascii="Calibri" w:eastAsia="Calibri" w:hAnsi="Calibri" w:cs="Calibri"/>
          <w:sz w:val="24"/>
          <w:szCs w:val="24"/>
        </w:rPr>
      </w:pPr>
      <w:r w:rsidRPr="00E820AA">
        <w:rPr>
          <w:rFonts w:ascii="Calibri" w:eastAsia="Calibri" w:hAnsi="Calibri" w:cs="Calibri"/>
          <w:noProof/>
          <w:sz w:val="24"/>
          <w:szCs w:val="24"/>
        </w:rPr>
        <w:drawing>
          <wp:anchor distT="0" distB="0" distL="114300" distR="114300" simplePos="0" relativeHeight="251664384" behindDoc="0" locked="0" layoutInCell="1" allowOverlap="1" wp14:anchorId="78CDA583" wp14:editId="6E971E16">
            <wp:simplePos x="0" y="0"/>
            <wp:positionH relativeFrom="margin">
              <wp:align>center</wp:align>
            </wp:positionH>
            <wp:positionV relativeFrom="paragraph">
              <wp:posOffset>1558290</wp:posOffset>
            </wp:positionV>
            <wp:extent cx="4292600" cy="2717800"/>
            <wp:effectExtent l="0" t="0" r="0" b="6350"/>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SII by customer.PNG"/>
                    <pic:cNvPicPr/>
                  </pic:nvPicPr>
                  <pic:blipFill>
                    <a:blip r:embed="rId26">
                      <a:extLst>
                        <a:ext uri="{28A0092B-C50C-407E-A947-70E740481C1C}">
                          <a14:useLocalDpi xmlns:a14="http://schemas.microsoft.com/office/drawing/2010/main" val="0"/>
                        </a:ext>
                      </a:extLst>
                    </a:blip>
                    <a:stretch>
                      <a:fillRect/>
                    </a:stretch>
                  </pic:blipFill>
                  <pic:spPr>
                    <a:xfrm>
                      <a:off x="0" y="0"/>
                      <a:ext cx="4292600" cy="2717800"/>
                    </a:xfrm>
                    <a:prstGeom prst="rect">
                      <a:avLst/>
                    </a:prstGeom>
                  </pic:spPr>
                </pic:pic>
              </a:graphicData>
            </a:graphic>
          </wp:anchor>
        </w:drawing>
      </w:r>
      <w:r w:rsidR="00E820AA" w:rsidRPr="00E820AA">
        <w:rPr>
          <w:rFonts w:ascii="Calibri" w:eastAsia="Calibri" w:hAnsi="Calibri" w:cs="Calibri"/>
          <w:sz w:val="24"/>
          <w:szCs w:val="24"/>
        </w:rPr>
        <w:t>The Public Information and Communication Services (PICS) II contract vehicle is a small business set aside IDIQ that offers ICs at the NIH communications and outreach; graphic design; web and database; materials development and distribution; and exhibit support. The mission of PICS II is to achieve and maintain high quality performance in the areas of media, communication, information dissemination and technology. PICS II is the vehicle OLAO uses to solicit superior communications services, especially where this expertise does not exist in-house. The PICS contract vehicle was established in tandem with the NIH communications community to ensure future customers would receive the wide range of services needed in the ever-evolving modern communications landscape.</w:t>
      </w:r>
    </w:p>
    <w:p w14:paraId="574EA754" w14:textId="38590916" w:rsidR="00E820AA" w:rsidRPr="00E820AA" w:rsidRDefault="00E820AA" w:rsidP="00E820AA">
      <w:pPr>
        <w:spacing w:line="240" w:lineRule="auto"/>
        <w:rPr>
          <w:rFonts w:ascii="Calibri" w:eastAsia="Calibri" w:hAnsi="Calibri" w:cs="Calibri"/>
          <w:sz w:val="24"/>
          <w:szCs w:val="24"/>
        </w:rPr>
      </w:pPr>
    </w:p>
    <w:p w14:paraId="5201B2DC" w14:textId="0359FA69" w:rsidR="00E820AA" w:rsidRPr="00A16A79" w:rsidRDefault="00E820AA" w:rsidP="00E820AA">
      <w:pPr>
        <w:spacing w:line="240" w:lineRule="auto"/>
        <w:rPr>
          <w:rFonts w:ascii="Calibri" w:eastAsia="Calibri" w:hAnsi="Calibri" w:cs="Calibri"/>
          <w:b/>
          <w:bCs/>
          <w:sz w:val="24"/>
          <w:szCs w:val="24"/>
        </w:rPr>
      </w:pPr>
      <w:r w:rsidRPr="00A16A79">
        <w:rPr>
          <w:rFonts w:ascii="Calibri" w:eastAsia="Calibri" w:hAnsi="Calibri" w:cs="Calibri"/>
          <w:b/>
          <w:bCs/>
          <w:sz w:val="24"/>
          <w:szCs w:val="24"/>
        </w:rPr>
        <w:t>NIHBPSS II</w:t>
      </w:r>
    </w:p>
    <w:p w14:paraId="26377492" w14:textId="0535BEC6" w:rsidR="00E820AA" w:rsidRPr="00E820AA" w:rsidRDefault="004A6979" w:rsidP="00E820AA">
      <w:pPr>
        <w:spacing w:line="240" w:lineRule="auto"/>
        <w:rPr>
          <w:rFonts w:ascii="Calibri" w:eastAsia="Calibri" w:hAnsi="Calibri" w:cs="Calibri"/>
          <w:sz w:val="24"/>
          <w:szCs w:val="24"/>
        </w:rPr>
      </w:pPr>
      <w:r w:rsidRPr="00E820AA">
        <w:rPr>
          <w:rFonts w:ascii="Calibri" w:eastAsia="Calibri" w:hAnsi="Calibri" w:cs="Calibri"/>
          <w:noProof/>
          <w:sz w:val="24"/>
          <w:szCs w:val="24"/>
        </w:rPr>
        <w:drawing>
          <wp:anchor distT="0" distB="0" distL="114300" distR="114300" simplePos="0" relativeHeight="251665408" behindDoc="0" locked="0" layoutInCell="1" allowOverlap="1" wp14:anchorId="124DA8DD" wp14:editId="52E32E4C">
            <wp:simplePos x="0" y="0"/>
            <wp:positionH relativeFrom="margin">
              <wp:posOffset>1397000</wp:posOffset>
            </wp:positionH>
            <wp:positionV relativeFrom="paragraph">
              <wp:posOffset>1004570</wp:posOffset>
            </wp:positionV>
            <wp:extent cx="4101465" cy="2749550"/>
            <wp:effectExtent l="0" t="0" r="0" b="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PSS by customer.PNG"/>
                    <pic:cNvPicPr/>
                  </pic:nvPicPr>
                  <pic:blipFill>
                    <a:blip r:embed="rId27">
                      <a:extLst>
                        <a:ext uri="{28A0092B-C50C-407E-A947-70E740481C1C}">
                          <a14:useLocalDpi xmlns:a14="http://schemas.microsoft.com/office/drawing/2010/main" val="0"/>
                        </a:ext>
                      </a:extLst>
                    </a:blip>
                    <a:stretch>
                      <a:fillRect/>
                    </a:stretch>
                  </pic:blipFill>
                  <pic:spPr>
                    <a:xfrm>
                      <a:off x="0" y="0"/>
                      <a:ext cx="4101465" cy="2749550"/>
                    </a:xfrm>
                    <a:prstGeom prst="rect">
                      <a:avLst/>
                    </a:prstGeom>
                  </pic:spPr>
                </pic:pic>
              </a:graphicData>
            </a:graphic>
            <wp14:sizeRelH relativeFrom="margin">
              <wp14:pctWidth>0</wp14:pctWidth>
            </wp14:sizeRelH>
            <wp14:sizeRelV relativeFrom="margin">
              <wp14:pctHeight>0</wp14:pctHeight>
            </wp14:sizeRelV>
          </wp:anchor>
        </w:drawing>
      </w:r>
      <w:r w:rsidR="00E820AA" w:rsidRPr="00E820AA">
        <w:rPr>
          <w:rFonts w:ascii="Calibri" w:eastAsia="Calibri" w:hAnsi="Calibri" w:cs="Calibri"/>
          <w:sz w:val="24"/>
          <w:szCs w:val="24"/>
        </w:rPr>
        <w:t>The NIH Business and Professional Support Services II (NIHBPSS II) contract is a multiple award partial small business set aside IDIQ available to all ICs and offices within the NIH to purchase business and professional support services on a task order (TO) basis. NIHBPSS II affords customers the ability to order services after requirements materialize, providing NIH with flexibility in both quantities and delivery scheduling.</w:t>
      </w:r>
    </w:p>
    <w:p w14:paraId="7E969B61" w14:textId="77777777" w:rsidR="001453A1" w:rsidRDefault="002F2920" w:rsidP="001453A1">
      <w:pPr>
        <w:pStyle w:val="Heading1"/>
        <w:spacing w:after="0"/>
      </w:pPr>
      <w:r w:rsidRPr="00A16A79">
        <w:lastRenderedPageBreak/>
        <w:t xml:space="preserve">Path to Excellence and Innovation Program </w:t>
      </w:r>
    </w:p>
    <w:p w14:paraId="25333B91" w14:textId="1BFE1C76" w:rsidR="002418E7" w:rsidRPr="00A16A79" w:rsidRDefault="002F2920" w:rsidP="001453A1">
      <w:pPr>
        <w:pStyle w:val="Heading1"/>
        <w:spacing w:after="0"/>
      </w:pPr>
      <w:r w:rsidRPr="00A16A79">
        <w:t>Enters Next Phase in Fiscal Year 2021</w:t>
      </w:r>
    </w:p>
    <w:p w14:paraId="3D26B3A8" w14:textId="77777777" w:rsidR="002F2920" w:rsidRPr="002F2920" w:rsidRDefault="002F2920" w:rsidP="001453A1">
      <w:pPr>
        <w:spacing w:before="240" w:line="240" w:lineRule="auto"/>
        <w:rPr>
          <w:sz w:val="24"/>
          <w:szCs w:val="24"/>
        </w:rPr>
      </w:pPr>
      <w:r w:rsidRPr="002F2920">
        <w:rPr>
          <w:sz w:val="24"/>
          <w:szCs w:val="24"/>
        </w:rPr>
        <w:t>With the beginning of fiscal year (FY)21 in October, the Path to Excellence and Innovation (PEI) program will begin offering more extensive acquisition training and technical assistance for Historically Black Colleges and Universities (HBCUs). The expanded program also will foster partnerships between HBCUs and businesses.</w:t>
      </w:r>
    </w:p>
    <w:p w14:paraId="3D412EA5" w14:textId="77777777" w:rsidR="002F2920" w:rsidRPr="002F2920" w:rsidRDefault="002F2920" w:rsidP="002F2920">
      <w:pPr>
        <w:spacing w:line="240" w:lineRule="auto"/>
        <w:rPr>
          <w:sz w:val="24"/>
          <w:szCs w:val="24"/>
        </w:rPr>
      </w:pPr>
      <w:r w:rsidRPr="002F2920">
        <w:rPr>
          <w:sz w:val="24"/>
          <w:szCs w:val="24"/>
        </w:rPr>
        <w:t>The National Institutes of Health (NIH) Office of Acquisition and Logistics Management (OALM) launched the PEI program in response to Executive Order (EO) 13779: The White House Initiative to Promote Excellence and Innovation at Historically Black Colleges and Universities. This EO issued in 2017 encourages federal agencies to assist in strengthening HBCUs’ ability to equitably participate in federal programs, explore new ways to improve the relationship between the federal government and HBCUs and establish how each respective agency intends to increase the capacity of HBCUs to compete effectively for grants, contracts, and cooperative agreements.</w:t>
      </w:r>
    </w:p>
    <w:p w14:paraId="132B41D3" w14:textId="77777777" w:rsidR="002F2920" w:rsidRPr="002F2920" w:rsidRDefault="002F2920" w:rsidP="002F2920">
      <w:pPr>
        <w:spacing w:line="240" w:lineRule="auto"/>
        <w:rPr>
          <w:sz w:val="24"/>
          <w:szCs w:val="24"/>
        </w:rPr>
      </w:pPr>
      <w:r w:rsidRPr="002F2920">
        <w:rPr>
          <w:sz w:val="24"/>
          <w:szCs w:val="24"/>
        </w:rPr>
        <w:t>During the PEI program’s pilot phase, six HBCUs were selected to participate in a series of workshops designed to empower them with the knowledge, resources and skills needed to effectively and consistently compete for and win partnership opportunities within the NIH. In FY 2021, the program will begin accepting applications from additional procurement-ready HBCUs. The focus of the next phase will be on increasing revenue to these institutions. Currently, the NIH awards less than 1% of the agency’s contract dollars to HBCUs. The goal is to increase that spending to 5%.</w:t>
      </w:r>
    </w:p>
    <w:p w14:paraId="0B4D1F84" w14:textId="77777777" w:rsidR="002F2920" w:rsidRPr="002F2920" w:rsidRDefault="002F2920" w:rsidP="002F2920">
      <w:pPr>
        <w:spacing w:line="240" w:lineRule="auto"/>
        <w:rPr>
          <w:sz w:val="24"/>
          <w:szCs w:val="24"/>
        </w:rPr>
      </w:pPr>
      <w:r w:rsidRPr="002F2920">
        <w:rPr>
          <w:sz w:val="24"/>
          <w:szCs w:val="24"/>
        </w:rPr>
        <w:t>Toward that end, the expanded PEI program curriculum will emphasize delivering capability briefings to the NIH centers, preparing compelling and compliant proposals to solicitations, as well as developing the infrastructure needed to sustain the acquisition life cycle. Participants will be matched with business partners that have HHS/NIH past performance as a prime or subcontractor. The teams will have access to an acquisition database and together they will identify opportunities and submit proposals. The Small Business Program Office (SBPO) will provide feedback and guidance following the outcome notification on submissions. The expanded program also will feature a Technical Assistance Center designed to provide infrastructure support to HBCUs.</w:t>
      </w:r>
    </w:p>
    <w:p w14:paraId="0E9CC1A2" w14:textId="0DB76C6D" w:rsidR="002418E7" w:rsidRDefault="002F2920" w:rsidP="001453A1">
      <w:pPr>
        <w:spacing w:line="240" w:lineRule="auto"/>
      </w:pPr>
      <w:r w:rsidRPr="002F2920">
        <w:rPr>
          <w:sz w:val="24"/>
          <w:szCs w:val="24"/>
        </w:rPr>
        <w:t>Ms. Diane J. Frasier will continue to house the PEI program under the Small Business Program Office with Ms. Annette Owens-Scarboro maintaining her role as the program manager. Supreme Solutions Inc., an 8(a) vendor awarded a support contract to assist in the development of the pilot, will remain in that capacity for the next phase of the PEI program.</w:t>
      </w:r>
    </w:p>
    <w:p w14:paraId="50C75538" w14:textId="77777777" w:rsidR="001453A1" w:rsidRPr="001453A1" w:rsidRDefault="001453A1" w:rsidP="001453A1">
      <w:pPr>
        <w:spacing w:line="240" w:lineRule="auto"/>
      </w:pPr>
    </w:p>
    <w:p w14:paraId="2EBD1BC0" w14:textId="2A589596" w:rsidR="006B4397" w:rsidRPr="00A16A79" w:rsidRDefault="002F2920" w:rsidP="001453A1">
      <w:pPr>
        <w:pStyle w:val="Heading1"/>
      </w:pPr>
      <w:r w:rsidRPr="00A16A79">
        <w:t>NITAAC:  Do You Have a Project That Needs to Get Done, But…</w:t>
      </w:r>
    </w:p>
    <w:p w14:paraId="48D388DE" w14:textId="77777777" w:rsidR="002F2920" w:rsidRDefault="002F2920" w:rsidP="002F2920">
      <w:pPr>
        <w:pStyle w:val="ListParagraph"/>
        <w:numPr>
          <w:ilvl w:val="0"/>
          <w:numId w:val="4"/>
        </w:numPr>
        <w:rPr>
          <w:sz w:val="24"/>
          <w:szCs w:val="24"/>
        </w:rPr>
      </w:pPr>
      <w:r w:rsidRPr="002F2920">
        <w:rPr>
          <w:sz w:val="24"/>
          <w:szCs w:val="24"/>
        </w:rPr>
        <w:t xml:space="preserve">You don’t have enough time? </w:t>
      </w:r>
    </w:p>
    <w:p w14:paraId="7B3BE4B4" w14:textId="77777777" w:rsidR="002F2920" w:rsidRDefault="002F2920" w:rsidP="002F2920">
      <w:pPr>
        <w:pStyle w:val="ListParagraph"/>
        <w:numPr>
          <w:ilvl w:val="0"/>
          <w:numId w:val="4"/>
        </w:numPr>
        <w:rPr>
          <w:sz w:val="24"/>
          <w:szCs w:val="24"/>
        </w:rPr>
      </w:pPr>
      <w:r w:rsidRPr="002F2920">
        <w:rPr>
          <w:sz w:val="24"/>
          <w:szCs w:val="24"/>
        </w:rPr>
        <w:t>You don’t have enough of or the right resources?</w:t>
      </w:r>
    </w:p>
    <w:p w14:paraId="12425612" w14:textId="77777777" w:rsidR="002F2920" w:rsidRDefault="002F2920" w:rsidP="002F2920">
      <w:pPr>
        <w:pStyle w:val="ListParagraph"/>
        <w:numPr>
          <w:ilvl w:val="0"/>
          <w:numId w:val="4"/>
        </w:numPr>
        <w:rPr>
          <w:sz w:val="24"/>
          <w:szCs w:val="24"/>
        </w:rPr>
      </w:pPr>
      <w:r w:rsidRPr="002F2920">
        <w:rPr>
          <w:sz w:val="24"/>
          <w:szCs w:val="24"/>
        </w:rPr>
        <w:t>You would like to do something in a new way, with a fresh perspective?</w:t>
      </w:r>
    </w:p>
    <w:p w14:paraId="11D163B0" w14:textId="77777777" w:rsidR="002F2920" w:rsidRDefault="002F2920" w:rsidP="002F2920">
      <w:pPr>
        <w:pStyle w:val="ListParagraph"/>
        <w:numPr>
          <w:ilvl w:val="0"/>
          <w:numId w:val="4"/>
        </w:numPr>
        <w:rPr>
          <w:sz w:val="24"/>
          <w:szCs w:val="24"/>
        </w:rPr>
      </w:pPr>
      <w:r w:rsidRPr="002F2920">
        <w:rPr>
          <w:sz w:val="24"/>
          <w:szCs w:val="24"/>
        </w:rPr>
        <w:t>You are an expert and would like to share your expertise with junior acquisition professionals?</w:t>
      </w:r>
    </w:p>
    <w:p w14:paraId="7A5908E3" w14:textId="236F6EE4" w:rsidR="002F2920" w:rsidRDefault="002F2920" w:rsidP="002F2920">
      <w:pPr>
        <w:pStyle w:val="ListParagraph"/>
        <w:numPr>
          <w:ilvl w:val="0"/>
          <w:numId w:val="4"/>
        </w:numPr>
        <w:rPr>
          <w:sz w:val="24"/>
          <w:szCs w:val="24"/>
        </w:rPr>
      </w:pPr>
      <w:r w:rsidRPr="002F2920">
        <w:rPr>
          <w:sz w:val="24"/>
          <w:szCs w:val="24"/>
        </w:rPr>
        <w:t>_______________ (fill in the blank)</w:t>
      </w:r>
    </w:p>
    <w:p w14:paraId="04FDDAAD" w14:textId="77777777" w:rsidR="002F2920" w:rsidRPr="002F2920" w:rsidRDefault="002F2920" w:rsidP="00E820AA">
      <w:pPr>
        <w:pStyle w:val="ListParagraph"/>
        <w:rPr>
          <w:sz w:val="24"/>
          <w:szCs w:val="24"/>
        </w:rPr>
      </w:pPr>
    </w:p>
    <w:p w14:paraId="44B6EB78" w14:textId="0A1D2FB5" w:rsidR="002F2920" w:rsidRPr="002F2920" w:rsidRDefault="002F2920" w:rsidP="002F2920">
      <w:pPr>
        <w:spacing w:line="240" w:lineRule="auto"/>
        <w:rPr>
          <w:sz w:val="24"/>
          <w:szCs w:val="24"/>
        </w:rPr>
      </w:pPr>
      <w:r w:rsidRPr="002F2920">
        <w:rPr>
          <w:sz w:val="24"/>
          <w:szCs w:val="24"/>
        </w:rPr>
        <w:t>This was NITAAC last month. NITAAC posted a micro-project on Open Opportunities entitled, “</w:t>
      </w:r>
      <w:hyperlink r:id="rId28" w:history="1">
        <w:r w:rsidRPr="002F2920">
          <w:rPr>
            <w:sz w:val="24"/>
            <w:szCs w:val="24"/>
          </w:rPr>
          <w:t>Seeking Dynamic Feds for User Acceptance Testing (UAT) for NIH NITAAC</w:t>
        </w:r>
      </w:hyperlink>
      <w:r w:rsidRPr="002F2920">
        <w:rPr>
          <w:sz w:val="24"/>
          <w:szCs w:val="24"/>
        </w:rPr>
        <w:t>.” Within three days we had all 10 participants we were looking for.</w:t>
      </w:r>
    </w:p>
    <w:p w14:paraId="38742FF0" w14:textId="1CBBF332" w:rsidR="002F2920" w:rsidRPr="002F2920" w:rsidRDefault="002F2920" w:rsidP="002F2920">
      <w:pPr>
        <w:spacing w:line="240" w:lineRule="auto"/>
        <w:rPr>
          <w:sz w:val="24"/>
          <w:szCs w:val="24"/>
        </w:rPr>
      </w:pPr>
      <w:r w:rsidRPr="002F2920">
        <w:rPr>
          <w:sz w:val="24"/>
          <w:szCs w:val="24"/>
        </w:rPr>
        <w:t xml:space="preserve">Through this micro-project NITAAC was able to reach out to a multitude of different agencies and develop a UAT team for a broader perspective on our upcoming new </w:t>
      </w:r>
      <w:hyperlink r:id="rId29" w:history="1">
        <w:r w:rsidRPr="002F2920">
          <w:rPr>
            <w:sz w:val="24"/>
            <w:szCs w:val="24"/>
          </w:rPr>
          <w:t>CIO-CS catalog</w:t>
        </w:r>
      </w:hyperlink>
      <w:r w:rsidRPr="002F2920">
        <w:rPr>
          <w:sz w:val="24"/>
          <w:szCs w:val="24"/>
        </w:rPr>
        <w:t xml:space="preserve">. We value this feedback as we </w:t>
      </w:r>
      <w:r w:rsidRPr="002F2920">
        <w:rPr>
          <w:sz w:val="24"/>
          <w:szCs w:val="24"/>
        </w:rPr>
        <w:lastRenderedPageBreak/>
        <w:t xml:space="preserve">create our GWACs for federal use. This project allowed us to rapidly gain testers, adjust to the feedback received and it allows us to release the new catalog the day after the testing closed. This entire Open </w:t>
      </w:r>
      <w:proofErr w:type="spellStart"/>
      <w:r w:rsidRPr="002F2920">
        <w:rPr>
          <w:sz w:val="24"/>
          <w:szCs w:val="24"/>
        </w:rPr>
        <w:t>Opps</w:t>
      </w:r>
      <w:proofErr w:type="spellEnd"/>
      <w:r w:rsidRPr="002F2920">
        <w:rPr>
          <w:sz w:val="24"/>
          <w:szCs w:val="24"/>
        </w:rPr>
        <w:t xml:space="preserve"> project has supported NITAAC to efficiently stay on schedule, verify data and ensure our catalog is appealing. All of this helps us stay at the leading edge of fulfilling our mission.</w:t>
      </w:r>
    </w:p>
    <w:p w14:paraId="5C5FDFC1" w14:textId="314D2EC1" w:rsidR="002F2920" w:rsidRPr="002F2920" w:rsidRDefault="002F2920" w:rsidP="002F2920">
      <w:pPr>
        <w:spacing w:line="240" w:lineRule="auto"/>
        <w:rPr>
          <w:sz w:val="24"/>
          <w:szCs w:val="24"/>
        </w:rPr>
      </w:pPr>
      <w:r>
        <w:rPr>
          <w:sz w:val="24"/>
          <w:szCs w:val="24"/>
        </w:rPr>
        <w:t>We understand that</w:t>
      </w:r>
      <w:r w:rsidRPr="002F2920">
        <w:rPr>
          <w:sz w:val="24"/>
          <w:szCs w:val="24"/>
        </w:rPr>
        <w:t xml:space="preserve"> Open </w:t>
      </w:r>
      <w:proofErr w:type="spellStart"/>
      <w:r w:rsidRPr="002F2920">
        <w:rPr>
          <w:sz w:val="24"/>
          <w:szCs w:val="24"/>
        </w:rPr>
        <w:t>Opps</w:t>
      </w:r>
      <w:proofErr w:type="spellEnd"/>
      <w:r w:rsidRPr="002F2920">
        <w:rPr>
          <w:sz w:val="24"/>
          <w:szCs w:val="24"/>
        </w:rPr>
        <w:t xml:space="preserve"> is new to many and it may be to your organization as well. </w:t>
      </w:r>
      <w:r>
        <w:rPr>
          <w:sz w:val="24"/>
          <w:szCs w:val="24"/>
        </w:rPr>
        <w:t>We</w:t>
      </w:r>
      <w:r w:rsidRPr="002F2920">
        <w:rPr>
          <w:sz w:val="24"/>
          <w:szCs w:val="24"/>
        </w:rPr>
        <w:t xml:space="preserve"> encourage your organization’s leadership to request training at </w:t>
      </w:r>
      <w:hyperlink r:id="rId30" w:history="1">
        <w:r w:rsidRPr="002F2920">
          <w:rPr>
            <w:rStyle w:val="Hyperlink"/>
            <w:sz w:val="24"/>
            <w:szCs w:val="24"/>
          </w:rPr>
          <w:t>openopps@usajobs.gov</w:t>
        </w:r>
      </w:hyperlink>
      <w:r w:rsidRPr="002F2920">
        <w:rPr>
          <w:sz w:val="24"/>
          <w:szCs w:val="24"/>
        </w:rPr>
        <w:t>. A training session may also help quickly address questions from every angle. In addition to offering group training, each community has a manager who can provide coaching to help you be successful on our platform.  In a nutshell</w:t>
      </w:r>
      <w:r>
        <w:rPr>
          <w:sz w:val="24"/>
          <w:szCs w:val="24"/>
        </w:rPr>
        <w:t>,</w:t>
      </w:r>
      <w:r w:rsidRPr="002F2920">
        <w:rPr>
          <w:sz w:val="24"/>
          <w:szCs w:val="24"/>
        </w:rPr>
        <w:t xml:space="preserve"> we can help you leverage our innovative platform and the skillsets of federal employees across the gamut for mission success. </w:t>
      </w:r>
    </w:p>
    <w:p w14:paraId="6517D996" w14:textId="77777777" w:rsidR="002F2920" w:rsidRPr="002F2920" w:rsidRDefault="002F2920" w:rsidP="002F2920">
      <w:pPr>
        <w:spacing w:line="240" w:lineRule="auto"/>
        <w:rPr>
          <w:sz w:val="24"/>
          <w:szCs w:val="24"/>
        </w:rPr>
      </w:pPr>
      <w:r w:rsidRPr="002F2920">
        <w:rPr>
          <w:sz w:val="24"/>
          <w:szCs w:val="24"/>
        </w:rPr>
        <w:t xml:space="preserve">What projects could OALM members succeed at with the help of Open </w:t>
      </w:r>
      <w:proofErr w:type="spellStart"/>
      <w:r w:rsidRPr="002F2920">
        <w:rPr>
          <w:sz w:val="24"/>
          <w:szCs w:val="24"/>
        </w:rPr>
        <w:t>Opps</w:t>
      </w:r>
      <w:proofErr w:type="spellEnd"/>
      <w:r w:rsidRPr="002F2920">
        <w:rPr>
          <w:sz w:val="24"/>
          <w:szCs w:val="24"/>
        </w:rPr>
        <w:t>?</w:t>
      </w:r>
    </w:p>
    <w:p w14:paraId="5F032D9A" w14:textId="716D80BB" w:rsidR="002F2920" w:rsidRPr="002F2920" w:rsidRDefault="002F2920" w:rsidP="002F2920">
      <w:pPr>
        <w:spacing w:line="240" w:lineRule="auto"/>
        <w:rPr>
          <w:sz w:val="24"/>
          <w:szCs w:val="24"/>
        </w:rPr>
      </w:pPr>
      <w:r w:rsidRPr="002F2920">
        <w:rPr>
          <w:sz w:val="24"/>
          <w:szCs w:val="24"/>
        </w:rPr>
        <w:t xml:space="preserve">Who do I contact at NIH? Kelly Lael is an assisted acquisition contracting officer at NITAAC. She is passionate about solving problems in an innovative manner that highlights the strengths and talents of federal employees. This is one reason she continues to be a community manager for acquisitions in Open Opportunities. Would you like to know more? Please contact </w:t>
      </w:r>
      <w:r>
        <w:rPr>
          <w:sz w:val="24"/>
          <w:szCs w:val="24"/>
        </w:rPr>
        <w:t>Kelly</w:t>
      </w:r>
      <w:r w:rsidRPr="002F2920">
        <w:rPr>
          <w:sz w:val="24"/>
          <w:szCs w:val="24"/>
        </w:rPr>
        <w:t xml:space="preserve"> at 301</w:t>
      </w:r>
      <w:r>
        <w:rPr>
          <w:sz w:val="24"/>
          <w:szCs w:val="24"/>
        </w:rPr>
        <w:t>-</w:t>
      </w:r>
      <w:r w:rsidRPr="002F2920">
        <w:rPr>
          <w:sz w:val="24"/>
          <w:szCs w:val="24"/>
        </w:rPr>
        <w:t>402</w:t>
      </w:r>
      <w:r>
        <w:rPr>
          <w:sz w:val="24"/>
          <w:szCs w:val="24"/>
        </w:rPr>
        <w:t>-</w:t>
      </w:r>
      <w:r w:rsidRPr="002F2920">
        <w:rPr>
          <w:sz w:val="24"/>
          <w:szCs w:val="24"/>
        </w:rPr>
        <w:t xml:space="preserve">5683 </w:t>
      </w:r>
      <w:r>
        <w:rPr>
          <w:sz w:val="24"/>
          <w:szCs w:val="24"/>
        </w:rPr>
        <w:t>or</w:t>
      </w:r>
      <w:r w:rsidRPr="002F2920">
        <w:rPr>
          <w:sz w:val="24"/>
          <w:szCs w:val="24"/>
        </w:rPr>
        <w:t xml:space="preserve"> </w:t>
      </w:r>
      <w:hyperlink r:id="rId31" w:history="1">
        <w:r w:rsidRPr="00672A8C">
          <w:rPr>
            <w:rStyle w:val="Hyperlink"/>
            <w:sz w:val="24"/>
            <w:szCs w:val="24"/>
          </w:rPr>
          <w:t>kelly.lael@nih.gov</w:t>
        </w:r>
      </w:hyperlink>
      <w:r w:rsidRPr="002F2920">
        <w:rPr>
          <w:sz w:val="24"/>
          <w:szCs w:val="24"/>
        </w:rPr>
        <w:t xml:space="preserve">. </w:t>
      </w:r>
      <w:r>
        <w:rPr>
          <w:sz w:val="24"/>
          <w:szCs w:val="24"/>
        </w:rPr>
        <w:t>Please</w:t>
      </w:r>
      <w:r w:rsidRPr="002F2920">
        <w:rPr>
          <w:sz w:val="24"/>
          <w:szCs w:val="24"/>
        </w:rPr>
        <w:t xml:space="preserve"> visit </w:t>
      </w:r>
      <w:hyperlink r:id="rId32" w:history="1">
        <w:r w:rsidRPr="00672A8C">
          <w:rPr>
            <w:rStyle w:val="Hyperlink"/>
            <w:sz w:val="24"/>
            <w:szCs w:val="24"/>
          </w:rPr>
          <w:t>https://openopps.usajobs.gov/</w:t>
        </w:r>
      </w:hyperlink>
      <w:r w:rsidRPr="002F2920">
        <w:rPr>
          <w:sz w:val="24"/>
          <w:szCs w:val="24"/>
        </w:rPr>
        <w:t xml:space="preserve"> and set up an account and begin exploring this platform.</w:t>
      </w:r>
    </w:p>
    <w:p w14:paraId="3FF9611D" w14:textId="77777777" w:rsidR="002F2920" w:rsidRPr="00D733A4" w:rsidRDefault="002F2920" w:rsidP="00556AD2">
      <w:pPr>
        <w:spacing w:line="240" w:lineRule="auto"/>
        <w:rPr>
          <w:sz w:val="24"/>
          <w:szCs w:val="24"/>
        </w:rPr>
      </w:pPr>
    </w:p>
    <w:p w14:paraId="627FFCA6" w14:textId="77777777" w:rsidR="00A16A79" w:rsidRPr="00A16A79" w:rsidRDefault="00A16A79" w:rsidP="001453A1">
      <w:pPr>
        <w:pStyle w:val="Heading1"/>
      </w:pPr>
      <w:r w:rsidRPr="00A16A79">
        <w:t>COVID-19 Procurement Guidance</w:t>
      </w:r>
    </w:p>
    <w:p w14:paraId="630C45B1" w14:textId="77777777" w:rsidR="00A16A79" w:rsidRDefault="00A16A79" w:rsidP="00A16A79">
      <w:pPr>
        <w:spacing w:line="240" w:lineRule="auto"/>
        <w:rPr>
          <w:sz w:val="24"/>
          <w:szCs w:val="24"/>
        </w:rPr>
      </w:pPr>
      <w:r>
        <w:rPr>
          <w:sz w:val="24"/>
          <w:szCs w:val="24"/>
        </w:rPr>
        <w:t>A COVID-19 Procurement resource page</w:t>
      </w:r>
      <w:r w:rsidRPr="00D733A4">
        <w:rPr>
          <w:sz w:val="24"/>
          <w:szCs w:val="24"/>
        </w:rPr>
        <w:t xml:space="preserve"> </w:t>
      </w:r>
      <w:r>
        <w:rPr>
          <w:sz w:val="24"/>
          <w:szCs w:val="24"/>
        </w:rPr>
        <w:t xml:space="preserve">has been established for the NIH acquisition community.  This guidance is maintained and will be </w:t>
      </w:r>
      <w:r w:rsidRPr="00D733A4">
        <w:rPr>
          <w:sz w:val="24"/>
          <w:szCs w:val="24"/>
        </w:rPr>
        <w:t xml:space="preserve">supplemented as we continue to learn more about how this situation will affect the administration of procurement actions at the NIH.  Please visit </w:t>
      </w:r>
      <w:r>
        <w:rPr>
          <w:sz w:val="24"/>
          <w:szCs w:val="24"/>
        </w:rPr>
        <w:t xml:space="preserve">the </w:t>
      </w:r>
      <w:hyperlink r:id="rId33" w:history="1">
        <w:r w:rsidRPr="00D733A4">
          <w:rPr>
            <w:rStyle w:val="Hyperlink"/>
            <w:sz w:val="24"/>
            <w:szCs w:val="24"/>
          </w:rPr>
          <w:t>ASRB SharePoint</w:t>
        </w:r>
      </w:hyperlink>
      <w:r>
        <w:rPr>
          <w:sz w:val="24"/>
          <w:szCs w:val="24"/>
        </w:rPr>
        <w:t xml:space="preserve"> home page for more information. </w:t>
      </w:r>
      <w:r w:rsidRPr="00D733A4">
        <w:rPr>
          <w:sz w:val="24"/>
          <w:szCs w:val="24"/>
        </w:rPr>
        <w:t xml:space="preserve"> </w:t>
      </w:r>
    </w:p>
    <w:p w14:paraId="139DADC4" w14:textId="77777777" w:rsidR="003020A9" w:rsidRDefault="003020A9" w:rsidP="00556AD2">
      <w:pPr>
        <w:spacing w:line="240" w:lineRule="auto"/>
        <w:jc w:val="center"/>
        <w:rPr>
          <w:rFonts w:ascii="Arial" w:hAnsi="Arial" w:cs="Arial"/>
          <w:sz w:val="40"/>
          <w:szCs w:val="40"/>
        </w:rPr>
      </w:pPr>
    </w:p>
    <w:p w14:paraId="4BAAD890" w14:textId="123B9A5D" w:rsidR="00285777" w:rsidRDefault="00C1069A" w:rsidP="001453A1">
      <w:pPr>
        <w:pStyle w:val="Heading1"/>
      </w:pPr>
      <w:r w:rsidRPr="00C1069A">
        <w:t>Recap Corner</w:t>
      </w:r>
    </w:p>
    <w:p w14:paraId="44424653" w14:textId="77777777" w:rsidR="00C1069A" w:rsidRPr="00157B2D" w:rsidRDefault="00157B2D" w:rsidP="00556AD2">
      <w:pPr>
        <w:spacing w:line="240" w:lineRule="auto"/>
        <w:rPr>
          <w:rFonts w:ascii="Arial" w:hAnsi="Arial" w:cs="Arial"/>
          <w:sz w:val="24"/>
          <w:szCs w:val="24"/>
        </w:rPr>
      </w:pPr>
      <w:r w:rsidRPr="00157B2D">
        <w:rPr>
          <w:rFonts w:ascii="Arial" w:hAnsi="Arial" w:cs="Arial"/>
          <w:sz w:val="24"/>
          <w:szCs w:val="24"/>
        </w:rPr>
        <w:t>Below is a recap of recent OALM communications to the NIH acquisition workforce</w:t>
      </w:r>
    </w:p>
    <w:tbl>
      <w:tblPr>
        <w:tblStyle w:val="TableGrid"/>
        <w:tblW w:w="0" w:type="auto"/>
        <w:tblLook w:val="04A0" w:firstRow="1" w:lastRow="0" w:firstColumn="1" w:lastColumn="0" w:noHBand="0" w:noVBand="1"/>
      </w:tblPr>
      <w:tblGrid>
        <w:gridCol w:w="1252"/>
        <w:gridCol w:w="3474"/>
        <w:gridCol w:w="1656"/>
        <w:gridCol w:w="4140"/>
      </w:tblGrid>
      <w:tr w:rsidR="00583D42" w:rsidRPr="00961CBE" w14:paraId="3BCEAF70" w14:textId="77777777" w:rsidTr="00D733A4">
        <w:trPr>
          <w:trHeight w:val="377"/>
        </w:trPr>
        <w:tc>
          <w:tcPr>
            <w:tcW w:w="1252" w:type="dxa"/>
          </w:tcPr>
          <w:p w14:paraId="3D90B8E4" w14:textId="77777777" w:rsidR="00285777" w:rsidRPr="00961CBE" w:rsidRDefault="00285777" w:rsidP="00556AD2">
            <w:pPr>
              <w:jc w:val="center"/>
              <w:rPr>
                <w:rFonts w:ascii="Arial" w:hAnsi="Arial" w:cs="Arial"/>
                <w:b/>
                <w:bCs/>
                <w:sz w:val="24"/>
                <w:szCs w:val="24"/>
              </w:rPr>
            </w:pPr>
            <w:r w:rsidRPr="00961CBE">
              <w:rPr>
                <w:rFonts w:ascii="Arial" w:hAnsi="Arial" w:cs="Arial"/>
                <w:b/>
                <w:bCs/>
                <w:sz w:val="24"/>
                <w:szCs w:val="24"/>
              </w:rPr>
              <w:t>ID</w:t>
            </w:r>
          </w:p>
        </w:tc>
        <w:tc>
          <w:tcPr>
            <w:tcW w:w="3474" w:type="dxa"/>
          </w:tcPr>
          <w:p w14:paraId="7411DB64" w14:textId="77777777" w:rsidR="00285777" w:rsidRPr="00961CBE" w:rsidRDefault="00285777" w:rsidP="00556AD2">
            <w:pPr>
              <w:jc w:val="center"/>
              <w:rPr>
                <w:rFonts w:ascii="Arial" w:hAnsi="Arial" w:cs="Arial"/>
                <w:b/>
                <w:bCs/>
                <w:sz w:val="24"/>
                <w:szCs w:val="24"/>
              </w:rPr>
            </w:pPr>
            <w:r w:rsidRPr="00961CBE">
              <w:rPr>
                <w:rFonts w:ascii="Arial" w:hAnsi="Arial" w:cs="Arial"/>
                <w:b/>
                <w:bCs/>
                <w:sz w:val="24"/>
                <w:szCs w:val="24"/>
              </w:rPr>
              <w:t>Title</w:t>
            </w:r>
          </w:p>
        </w:tc>
        <w:tc>
          <w:tcPr>
            <w:tcW w:w="1656" w:type="dxa"/>
          </w:tcPr>
          <w:p w14:paraId="6C1A7FFD" w14:textId="77777777" w:rsidR="00285777" w:rsidRPr="00961CBE" w:rsidRDefault="00285777" w:rsidP="00556AD2">
            <w:pPr>
              <w:jc w:val="center"/>
              <w:rPr>
                <w:rFonts w:ascii="Arial" w:hAnsi="Arial" w:cs="Arial"/>
                <w:b/>
                <w:bCs/>
                <w:sz w:val="24"/>
                <w:szCs w:val="24"/>
              </w:rPr>
            </w:pPr>
            <w:r w:rsidRPr="00961CBE">
              <w:rPr>
                <w:rFonts w:ascii="Arial" w:hAnsi="Arial" w:cs="Arial"/>
                <w:b/>
                <w:bCs/>
                <w:sz w:val="24"/>
                <w:szCs w:val="24"/>
              </w:rPr>
              <w:t>Date</w:t>
            </w:r>
          </w:p>
        </w:tc>
        <w:tc>
          <w:tcPr>
            <w:tcW w:w="4140" w:type="dxa"/>
          </w:tcPr>
          <w:p w14:paraId="4FAD0612" w14:textId="77777777" w:rsidR="00285777" w:rsidRPr="00961CBE" w:rsidRDefault="00285777" w:rsidP="00556AD2">
            <w:pPr>
              <w:jc w:val="center"/>
              <w:rPr>
                <w:rFonts w:ascii="Arial" w:hAnsi="Arial" w:cs="Arial"/>
                <w:b/>
                <w:bCs/>
                <w:sz w:val="24"/>
                <w:szCs w:val="24"/>
              </w:rPr>
            </w:pPr>
            <w:r w:rsidRPr="00961CBE">
              <w:rPr>
                <w:rFonts w:ascii="Arial" w:hAnsi="Arial" w:cs="Arial"/>
                <w:b/>
                <w:bCs/>
                <w:sz w:val="24"/>
                <w:szCs w:val="24"/>
              </w:rPr>
              <w:t>Purpose</w:t>
            </w:r>
          </w:p>
        </w:tc>
      </w:tr>
      <w:tr w:rsidR="007F2893" w:rsidRPr="00961CBE" w14:paraId="14AEECA3" w14:textId="77777777" w:rsidTr="00D733A4">
        <w:trPr>
          <w:trHeight w:val="440"/>
        </w:trPr>
        <w:tc>
          <w:tcPr>
            <w:tcW w:w="1252" w:type="dxa"/>
          </w:tcPr>
          <w:p w14:paraId="032D3FCC" w14:textId="0E8353E1" w:rsidR="007F2893" w:rsidRPr="00961CBE" w:rsidRDefault="007F2893" w:rsidP="007F2893">
            <w:pPr>
              <w:rPr>
                <w:rFonts w:ascii="Arial" w:hAnsi="Arial" w:cs="Arial"/>
                <w:sz w:val="24"/>
                <w:szCs w:val="24"/>
              </w:rPr>
            </w:pPr>
            <w:r w:rsidRPr="00961CBE">
              <w:rPr>
                <w:rFonts w:ascii="Arial" w:hAnsi="Arial" w:cs="Arial"/>
                <w:sz w:val="24"/>
                <w:szCs w:val="24"/>
              </w:rPr>
              <w:t>20-</w:t>
            </w:r>
            <w:r>
              <w:rPr>
                <w:rFonts w:ascii="Arial" w:hAnsi="Arial" w:cs="Arial"/>
                <w:sz w:val="24"/>
                <w:szCs w:val="24"/>
              </w:rPr>
              <w:t>43</w:t>
            </w:r>
          </w:p>
        </w:tc>
        <w:tc>
          <w:tcPr>
            <w:tcW w:w="3474" w:type="dxa"/>
          </w:tcPr>
          <w:p w14:paraId="79F51BFE" w14:textId="624D0BC7"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4B3FE9E5" w14:textId="76FE7A24" w:rsidR="007F2893" w:rsidRPr="00961CBE" w:rsidRDefault="007F2893" w:rsidP="007F2893">
            <w:pPr>
              <w:rPr>
                <w:rFonts w:ascii="Arial" w:hAnsi="Arial" w:cs="Arial"/>
                <w:sz w:val="24"/>
                <w:szCs w:val="24"/>
              </w:rPr>
            </w:pPr>
            <w:r>
              <w:rPr>
                <w:rFonts w:ascii="Arial" w:hAnsi="Arial" w:cs="Arial"/>
                <w:sz w:val="24"/>
                <w:szCs w:val="24"/>
              </w:rPr>
              <w:t>5/18/2020</w:t>
            </w:r>
          </w:p>
        </w:tc>
        <w:tc>
          <w:tcPr>
            <w:tcW w:w="4140" w:type="dxa"/>
          </w:tcPr>
          <w:p w14:paraId="6DFCC217" w14:textId="408EE0F1"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7F2893" w:rsidRPr="00961CBE" w14:paraId="59A11C2B" w14:textId="77777777" w:rsidTr="00D733A4">
        <w:trPr>
          <w:trHeight w:val="350"/>
        </w:trPr>
        <w:tc>
          <w:tcPr>
            <w:tcW w:w="1252" w:type="dxa"/>
          </w:tcPr>
          <w:p w14:paraId="15B8DB7F" w14:textId="516F82F8" w:rsidR="007F2893" w:rsidRPr="00961CBE" w:rsidRDefault="007F2893" w:rsidP="007F2893">
            <w:pPr>
              <w:rPr>
                <w:rFonts w:ascii="Arial" w:hAnsi="Arial" w:cs="Arial"/>
                <w:sz w:val="24"/>
                <w:szCs w:val="24"/>
              </w:rPr>
            </w:pPr>
            <w:r w:rsidRPr="00961CBE">
              <w:rPr>
                <w:rFonts w:ascii="Arial" w:hAnsi="Arial" w:cs="Arial"/>
                <w:sz w:val="24"/>
                <w:szCs w:val="24"/>
              </w:rPr>
              <w:t>20-</w:t>
            </w:r>
            <w:r>
              <w:rPr>
                <w:rFonts w:ascii="Arial" w:hAnsi="Arial" w:cs="Arial"/>
                <w:sz w:val="24"/>
                <w:szCs w:val="24"/>
              </w:rPr>
              <w:t>44</w:t>
            </w:r>
          </w:p>
        </w:tc>
        <w:tc>
          <w:tcPr>
            <w:tcW w:w="3474" w:type="dxa"/>
          </w:tcPr>
          <w:p w14:paraId="6FC9460A" w14:textId="5A5D4EC1"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1790E299" w14:textId="24A71CB1" w:rsidR="007F2893" w:rsidRPr="00961CBE" w:rsidRDefault="007F2893" w:rsidP="007F2893">
            <w:pPr>
              <w:rPr>
                <w:rFonts w:ascii="Arial" w:hAnsi="Arial" w:cs="Arial"/>
                <w:sz w:val="24"/>
                <w:szCs w:val="24"/>
              </w:rPr>
            </w:pPr>
            <w:r>
              <w:rPr>
                <w:rFonts w:ascii="Arial" w:hAnsi="Arial" w:cs="Arial"/>
                <w:sz w:val="24"/>
                <w:szCs w:val="24"/>
              </w:rPr>
              <w:t>5/26/2020</w:t>
            </w:r>
          </w:p>
        </w:tc>
        <w:tc>
          <w:tcPr>
            <w:tcW w:w="4140" w:type="dxa"/>
          </w:tcPr>
          <w:p w14:paraId="2C51CFE4" w14:textId="7AF7CBDC"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583D42" w:rsidRPr="00961CBE" w14:paraId="26E3EF56" w14:textId="77777777" w:rsidTr="00D733A4">
        <w:trPr>
          <w:trHeight w:val="440"/>
        </w:trPr>
        <w:tc>
          <w:tcPr>
            <w:tcW w:w="1252" w:type="dxa"/>
          </w:tcPr>
          <w:p w14:paraId="14C27C42" w14:textId="67CD9ED1" w:rsidR="00285777"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45</w:t>
            </w:r>
          </w:p>
        </w:tc>
        <w:tc>
          <w:tcPr>
            <w:tcW w:w="3474" w:type="dxa"/>
          </w:tcPr>
          <w:p w14:paraId="0425B344" w14:textId="08E3320B" w:rsidR="00285777" w:rsidRPr="00961CBE" w:rsidRDefault="007F2893" w:rsidP="00556AD2">
            <w:pPr>
              <w:rPr>
                <w:rFonts w:ascii="Arial" w:hAnsi="Arial" w:cs="Arial"/>
                <w:sz w:val="24"/>
                <w:szCs w:val="24"/>
              </w:rPr>
            </w:pPr>
            <w:r>
              <w:rPr>
                <w:rFonts w:ascii="Arial" w:hAnsi="Arial" w:cs="Arial"/>
                <w:sz w:val="24"/>
                <w:szCs w:val="24"/>
              </w:rPr>
              <w:t>Efficient Spending Policy: Guidance on Conferences and Virtual Events During COVID-19 Emergency</w:t>
            </w:r>
          </w:p>
        </w:tc>
        <w:tc>
          <w:tcPr>
            <w:tcW w:w="1656" w:type="dxa"/>
          </w:tcPr>
          <w:p w14:paraId="355AEF87" w14:textId="18E49E44" w:rsidR="00285777" w:rsidRPr="00961CBE" w:rsidRDefault="007F2893" w:rsidP="00556AD2">
            <w:pPr>
              <w:rPr>
                <w:rFonts w:ascii="Arial" w:hAnsi="Arial" w:cs="Arial"/>
                <w:sz w:val="24"/>
                <w:szCs w:val="24"/>
              </w:rPr>
            </w:pPr>
            <w:r>
              <w:rPr>
                <w:rFonts w:ascii="Arial" w:hAnsi="Arial" w:cs="Arial"/>
                <w:sz w:val="24"/>
                <w:szCs w:val="24"/>
              </w:rPr>
              <w:t>5/28/2020</w:t>
            </w:r>
          </w:p>
        </w:tc>
        <w:tc>
          <w:tcPr>
            <w:tcW w:w="4140" w:type="dxa"/>
          </w:tcPr>
          <w:p w14:paraId="331E27A7" w14:textId="661EE8D9" w:rsidR="00285777" w:rsidRPr="00961CBE" w:rsidRDefault="007F2893" w:rsidP="00556AD2">
            <w:pPr>
              <w:rPr>
                <w:rFonts w:ascii="Arial" w:hAnsi="Arial" w:cs="Arial"/>
                <w:sz w:val="24"/>
                <w:szCs w:val="24"/>
              </w:rPr>
            </w:pPr>
            <w:r w:rsidRPr="007F2893">
              <w:rPr>
                <w:rFonts w:ascii="Arial" w:hAnsi="Arial" w:cs="Arial"/>
                <w:sz w:val="24"/>
                <w:szCs w:val="24"/>
              </w:rPr>
              <w:t xml:space="preserve">Due to the COVID-19 emergency, many NIH-hosted and non-NIH-hosted events have been cancelled or converted to virtual meetings.  Attached is a collection of </w:t>
            </w:r>
            <w:r w:rsidRPr="007F2893">
              <w:rPr>
                <w:rFonts w:ascii="Arial" w:hAnsi="Arial" w:cs="Arial"/>
                <w:sz w:val="24"/>
                <w:szCs w:val="24"/>
              </w:rPr>
              <w:lastRenderedPageBreak/>
              <w:t>guidance covering the different parts of the Efficient Spending Policy</w:t>
            </w:r>
          </w:p>
        </w:tc>
      </w:tr>
      <w:tr w:rsidR="007F2893" w:rsidRPr="00961CBE" w14:paraId="5517CF9C" w14:textId="77777777" w:rsidTr="00D733A4">
        <w:trPr>
          <w:trHeight w:val="440"/>
        </w:trPr>
        <w:tc>
          <w:tcPr>
            <w:tcW w:w="1252" w:type="dxa"/>
          </w:tcPr>
          <w:p w14:paraId="11617C87" w14:textId="5392B3A3" w:rsidR="007F2893" w:rsidRPr="00961CBE" w:rsidRDefault="007F2893" w:rsidP="007F2893">
            <w:pPr>
              <w:rPr>
                <w:rFonts w:ascii="Arial" w:hAnsi="Arial" w:cs="Arial"/>
                <w:sz w:val="24"/>
                <w:szCs w:val="24"/>
              </w:rPr>
            </w:pPr>
            <w:r>
              <w:rPr>
                <w:rFonts w:ascii="Arial" w:hAnsi="Arial" w:cs="Arial"/>
                <w:sz w:val="24"/>
                <w:szCs w:val="24"/>
              </w:rPr>
              <w:lastRenderedPageBreak/>
              <w:t>20-46</w:t>
            </w:r>
          </w:p>
        </w:tc>
        <w:tc>
          <w:tcPr>
            <w:tcW w:w="3474" w:type="dxa"/>
          </w:tcPr>
          <w:p w14:paraId="63F3090E" w14:textId="78AABF22"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7DAF38E5" w14:textId="7230B234" w:rsidR="007F2893" w:rsidRPr="00961CBE" w:rsidRDefault="007F2893" w:rsidP="007F2893">
            <w:pPr>
              <w:rPr>
                <w:rFonts w:ascii="Arial" w:hAnsi="Arial" w:cs="Arial"/>
                <w:sz w:val="24"/>
                <w:szCs w:val="24"/>
              </w:rPr>
            </w:pPr>
            <w:r>
              <w:rPr>
                <w:rFonts w:ascii="Arial" w:hAnsi="Arial" w:cs="Arial"/>
                <w:sz w:val="24"/>
                <w:szCs w:val="24"/>
              </w:rPr>
              <w:t>6/1/2020</w:t>
            </w:r>
          </w:p>
        </w:tc>
        <w:tc>
          <w:tcPr>
            <w:tcW w:w="4140" w:type="dxa"/>
          </w:tcPr>
          <w:p w14:paraId="4626AF17" w14:textId="32FBB1D2"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7F2893" w:rsidRPr="00961CBE" w14:paraId="3F43F1C1" w14:textId="77777777" w:rsidTr="00D733A4">
        <w:trPr>
          <w:trHeight w:val="440"/>
        </w:trPr>
        <w:tc>
          <w:tcPr>
            <w:tcW w:w="1252" w:type="dxa"/>
          </w:tcPr>
          <w:p w14:paraId="0D846DBD" w14:textId="309597FF" w:rsidR="007F2893" w:rsidRPr="00961CBE" w:rsidRDefault="007F2893" w:rsidP="007F2893">
            <w:pPr>
              <w:rPr>
                <w:rFonts w:ascii="Arial" w:hAnsi="Arial" w:cs="Arial"/>
                <w:sz w:val="24"/>
                <w:szCs w:val="24"/>
              </w:rPr>
            </w:pPr>
            <w:r>
              <w:rPr>
                <w:rFonts w:ascii="Arial" w:hAnsi="Arial" w:cs="Arial"/>
                <w:sz w:val="24"/>
                <w:szCs w:val="24"/>
              </w:rPr>
              <w:t>20-47</w:t>
            </w:r>
          </w:p>
        </w:tc>
        <w:tc>
          <w:tcPr>
            <w:tcW w:w="3474" w:type="dxa"/>
          </w:tcPr>
          <w:p w14:paraId="2C72ABE0" w14:textId="3F5B644D"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46387D67" w14:textId="7335CE1A" w:rsidR="007F2893" w:rsidRPr="00961CBE" w:rsidRDefault="007F2893" w:rsidP="007F2893">
            <w:pPr>
              <w:rPr>
                <w:rFonts w:ascii="Arial" w:hAnsi="Arial" w:cs="Arial"/>
                <w:sz w:val="24"/>
                <w:szCs w:val="24"/>
              </w:rPr>
            </w:pPr>
            <w:r>
              <w:rPr>
                <w:rFonts w:ascii="Arial" w:hAnsi="Arial" w:cs="Arial"/>
                <w:sz w:val="24"/>
                <w:szCs w:val="24"/>
              </w:rPr>
              <w:t>6/8/2020</w:t>
            </w:r>
          </w:p>
        </w:tc>
        <w:tc>
          <w:tcPr>
            <w:tcW w:w="4140" w:type="dxa"/>
          </w:tcPr>
          <w:p w14:paraId="002FA7C5" w14:textId="00081B97"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4F7E2226" w14:textId="77777777" w:rsidTr="00D733A4">
        <w:trPr>
          <w:trHeight w:val="449"/>
        </w:trPr>
        <w:tc>
          <w:tcPr>
            <w:tcW w:w="1252" w:type="dxa"/>
          </w:tcPr>
          <w:p w14:paraId="2C9E5401" w14:textId="6A0427A2" w:rsidR="00285777"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48</w:t>
            </w:r>
          </w:p>
        </w:tc>
        <w:tc>
          <w:tcPr>
            <w:tcW w:w="3474" w:type="dxa"/>
          </w:tcPr>
          <w:p w14:paraId="510978E3" w14:textId="1C11F1C2" w:rsidR="00285777" w:rsidRPr="00961CBE" w:rsidRDefault="007F2893" w:rsidP="00556AD2">
            <w:pPr>
              <w:rPr>
                <w:rFonts w:ascii="Arial" w:hAnsi="Arial" w:cs="Arial"/>
                <w:sz w:val="24"/>
                <w:szCs w:val="24"/>
              </w:rPr>
            </w:pPr>
            <w:r>
              <w:rPr>
                <w:rFonts w:ascii="Arial" w:hAnsi="Arial" w:cs="Arial"/>
                <w:sz w:val="24"/>
                <w:szCs w:val="24"/>
              </w:rPr>
              <w:t>Extension of FPDS National Interest Action Code for COVID-19</w:t>
            </w:r>
          </w:p>
        </w:tc>
        <w:tc>
          <w:tcPr>
            <w:tcW w:w="1656" w:type="dxa"/>
          </w:tcPr>
          <w:p w14:paraId="736F8416" w14:textId="2F608BA2" w:rsidR="00285777" w:rsidRPr="00961CBE" w:rsidRDefault="007F2893" w:rsidP="00556AD2">
            <w:pPr>
              <w:rPr>
                <w:rFonts w:ascii="Arial" w:hAnsi="Arial" w:cs="Arial"/>
                <w:sz w:val="24"/>
                <w:szCs w:val="24"/>
              </w:rPr>
            </w:pPr>
            <w:r>
              <w:rPr>
                <w:rFonts w:ascii="Arial" w:hAnsi="Arial" w:cs="Arial"/>
                <w:sz w:val="24"/>
                <w:szCs w:val="24"/>
              </w:rPr>
              <w:t>6/11/2020</w:t>
            </w:r>
          </w:p>
        </w:tc>
        <w:tc>
          <w:tcPr>
            <w:tcW w:w="4140" w:type="dxa"/>
          </w:tcPr>
          <w:p w14:paraId="182B4837" w14:textId="1BB3926E" w:rsidR="00285777" w:rsidRPr="00961CBE" w:rsidRDefault="007F2893" w:rsidP="007F2893">
            <w:pPr>
              <w:rPr>
                <w:rFonts w:ascii="Arial" w:hAnsi="Arial" w:cs="Arial"/>
                <w:sz w:val="24"/>
                <w:szCs w:val="24"/>
              </w:rPr>
            </w:pPr>
            <w:r w:rsidRPr="007F2893">
              <w:rPr>
                <w:rFonts w:ascii="Arial" w:hAnsi="Arial" w:cs="Arial"/>
                <w:sz w:val="24"/>
                <w:szCs w:val="24"/>
              </w:rPr>
              <w:t>The National Interest Action (NIA) Code for COVID-19 is being extended to continue to track acquisition costs related to the COVID-19 efforts in FPDS.</w:t>
            </w:r>
          </w:p>
        </w:tc>
      </w:tr>
      <w:tr w:rsidR="007F2893" w:rsidRPr="00961CBE" w14:paraId="60A7C377" w14:textId="77777777" w:rsidTr="00D733A4">
        <w:trPr>
          <w:trHeight w:val="431"/>
        </w:trPr>
        <w:tc>
          <w:tcPr>
            <w:tcW w:w="1252" w:type="dxa"/>
          </w:tcPr>
          <w:p w14:paraId="34F0E02D" w14:textId="4870C578" w:rsidR="007F2893" w:rsidRPr="00961CBE" w:rsidRDefault="007F2893" w:rsidP="007F2893">
            <w:pPr>
              <w:rPr>
                <w:rFonts w:ascii="Arial" w:hAnsi="Arial" w:cs="Arial"/>
                <w:sz w:val="24"/>
                <w:szCs w:val="24"/>
              </w:rPr>
            </w:pPr>
            <w:r>
              <w:rPr>
                <w:rFonts w:ascii="Arial" w:hAnsi="Arial" w:cs="Arial"/>
                <w:sz w:val="24"/>
                <w:szCs w:val="24"/>
              </w:rPr>
              <w:t>20-49</w:t>
            </w:r>
          </w:p>
        </w:tc>
        <w:tc>
          <w:tcPr>
            <w:tcW w:w="3474" w:type="dxa"/>
          </w:tcPr>
          <w:p w14:paraId="17D4E60F" w14:textId="748A6B1C"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5D8A7A68" w14:textId="5AD58998" w:rsidR="007F2893" w:rsidRPr="00961CBE" w:rsidRDefault="007F2893" w:rsidP="007F2893">
            <w:pPr>
              <w:rPr>
                <w:rFonts w:ascii="Arial" w:hAnsi="Arial" w:cs="Arial"/>
                <w:sz w:val="24"/>
                <w:szCs w:val="24"/>
              </w:rPr>
            </w:pPr>
            <w:r>
              <w:rPr>
                <w:rFonts w:ascii="Arial" w:hAnsi="Arial" w:cs="Arial"/>
                <w:sz w:val="24"/>
                <w:szCs w:val="24"/>
              </w:rPr>
              <w:t>6/14/2020</w:t>
            </w:r>
          </w:p>
        </w:tc>
        <w:tc>
          <w:tcPr>
            <w:tcW w:w="4140" w:type="dxa"/>
          </w:tcPr>
          <w:p w14:paraId="2486C106" w14:textId="46ED744D"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2D421F8A" w14:textId="77777777" w:rsidTr="00D733A4">
        <w:trPr>
          <w:trHeight w:val="449"/>
        </w:trPr>
        <w:tc>
          <w:tcPr>
            <w:tcW w:w="1252" w:type="dxa"/>
          </w:tcPr>
          <w:p w14:paraId="1F02A697" w14:textId="005180B6" w:rsidR="00961CBE"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50</w:t>
            </w:r>
          </w:p>
        </w:tc>
        <w:tc>
          <w:tcPr>
            <w:tcW w:w="3474" w:type="dxa"/>
          </w:tcPr>
          <w:p w14:paraId="43BDBA15" w14:textId="6B60EFF2" w:rsidR="00961CBE" w:rsidRPr="00961CBE" w:rsidRDefault="007F2893" w:rsidP="00556AD2">
            <w:pPr>
              <w:rPr>
                <w:rFonts w:ascii="Arial" w:hAnsi="Arial" w:cs="Arial"/>
                <w:sz w:val="24"/>
                <w:szCs w:val="24"/>
              </w:rPr>
            </w:pPr>
            <w:r>
              <w:rPr>
                <w:rFonts w:ascii="Arial" w:hAnsi="Arial" w:cs="Arial"/>
                <w:sz w:val="24"/>
                <w:szCs w:val="24"/>
              </w:rPr>
              <w:t>Form 653 Small Business Review for COVID-19 actions</w:t>
            </w:r>
          </w:p>
        </w:tc>
        <w:tc>
          <w:tcPr>
            <w:tcW w:w="1656" w:type="dxa"/>
          </w:tcPr>
          <w:p w14:paraId="60989F8E" w14:textId="4E70BCAF" w:rsidR="00961CBE" w:rsidRPr="00961CBE" w:rsidRDefault="007F2893" w:rsidP="00556AD2">
            <w:pPr>
              <w:rPr>
                <w:rFonts w:ascii="Arial" w:hAnsi="Arial" w:cs="Arial"/>
                <w:sz w:val="24"/>
                <w:szCs w:val="24"/>
              </w:rPr>
            </w:pPr>
            <w:r>
              <w:rPr>
                <w:rFonts w:ascii="Arial" w:hAnsi="Arial" w:cs="Arial"/>
                <w:sz w:val="24"/>
                <w:szCs w:val="24"/>
              </w:rPr>
              <w:t>6/15/2020</w:t>
            </w:r>
          </w:p>
        </w:tc>
        <w:tc>
          <w:tcPr>
            <w:tcW w:w="4140" w:type="dxa"/>
          </w:tcPr>
          <w:p w14:paraId="5A2DE1F3" w14:textId="32B806E2" w:rsidR="00961CBE" w:rsidRPr="00961CBE" w:rsidRDefault="007F2893" w:rsidP="00556AD2">
            <w:pPr>
              <w:rPr>
                <w:rFonts w:ascii="Arial" w:hAnsi="Arial" w:cs="Arial"/>
                <w:sz w:val="24"/>
                <w:szCs w:val="24"/>
              </w:rPr>
            </w:pPr>
            <w:r w:rsidRPr="007F2893">
              <w:rPr>
                <w:rFonts w:ascii="Arial" w:hAnsi="Arial" w:cs="Arial"/>
                <w:sz w:val="24"/>
                <w:szCs w:val="24"/>
              </w:rPr>
              <w:t>The SBCX system’s Form 653 small business review workflow has been updated to reflect the new Simplified Acquisition Threshold (SAT) as outlined in Acquisition Alert 2020-06</w:t>
            </w:r>
          </w:p>
        </w:tc>
      </w:tr>
      <w:tr w:rsidR="00C1069A" w:rsidRPr="00961CBE" w14:paraId="6EDB21CA" w14:textId="77777777" w:rsidTr="00D733A4">
        <w:trPr>
          <w:trHeight w:val="440"/>
        </w:trPr>
        <w:tc>
          <w:tcPr>
            <w:tcW w:w="1252" w:type="dxa"/>
          </w:tcPr>
          <w:p w14:paraId="5CC0B910" w14:textId="3A5F3DE9" w:rsidR="00961CBE"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51</w:t>
            </w:r>
          </w:p>
        </w:tc>
        <w:tc>
          <w:tcPr>
            <w:tcW w:w="3474" w:type="dxa"/>
          </w:tcPr>
          <w:p w14:paraId="68888309" w14:textId="1B621946" w:rsidR="00961CBE" w:rsidRPr="00961CBE" w:rsidRDefault="007F2893" w:rsidP="00556AD2">
            <w:pPr>
              <w:rPr>
                <w:rFonts w:ascii="Arial" w:hAnsi="Arial" w:cs="Arial"/>
                <w:sz w:val="24"/>
                <w:szCs w:val="24"/>
              </w:rPr>
            </w:pPr>
            <w:r>
              <w:rPr>
                <w:rFonts w:ascii="Arial" w:hAnsi="Arial" w:cs="Arial"/>
                <w:sz w:val="24"/>
                <w:szCs w:val="24"/>
              </w:rPr>
              <w:t>FPDS Scheduled Maintenance</w:t>
            </w:r>
          </w:p>
        </w:tc>
        <w:tc>
          <w:tcPr>
            <w:tcW w:w="1656" w:type="dxa"/>
          </w:tcPr>
          <w:p w14:paraId="5817E382" w14:textId="7C57F14E" w:rsidR="00961CBE" w:rsidRPr="00961CBE" w:rsidRDefault="007F2893" w:rsidP="00556AD2">
            <w:pPr>
              <w:rPr>
                <w:rFonts w:ascii="Arial" w:hAnsi="Arial" w:cs="Arial"/>
                <w:sz w:val="24"/>
                <w:szCs w:val="24"/>
              </w:rPr>
            </w:pPr>
            <w:r>
              <w:rPr>
                <w:rFonts w:ascii="Arial" w:hAnsi="Arial" w:cs="Arial"/>
                <w:sz w:val="24"/>
                <w:szCs w:val="24"/>
              </w:rPr>
              <w:t>6/19/</w:t>
            </w:r>
            <w:r w:rsidR="00576399">
              <w:rPr>
                <w:rFonts w:ascii="Arial" w:hAnsi="Arial" w:cs="Arial"/>
                <w:sz w:val="24"/>
                <w:szCs w:val="24"/>
              </w:rPr>
              <w:t>2020</w:t>
            </w:r>
          </w:p>
        </w:tc>
        <w:tc>
          <w:tcPr>
            <w:tcW w:w="4140" w:type="dxa"/>
          </w:tcPr>
          <w:p w14:paraId="277FDA01" w14:textId="13CCA988" w:rsidR="00961CBE" w:rsidRPr="00961CBE" w:rsidRDefault="007F2893" w:rsidP="00556AD2">
            <w:pPr>
              <w:rPr>
                <w:rFonts w:ascii="Arial" w:hAnsi="Arial" w:cs="Arial"/>
                <w:sz w:val="24"/>
                <w:szCs w:val="24"/>
              </w:rPr>
            </w:pPr>
            <w:r>
              <w:rPr>
                <w:rFonts w:ascii="Arial" w:hAnsi="Arial" w:cs="Arial"/>
                <w:sz w:val="24"/>
                <w:szCs w:val="24"/>
              </w:rPr>
              <w:t>FPDS scheduled maintenance downtime</w:t>
            </w:r>
          </w:p>
        </w:tc>
      </w:tr>
      <w:tr w:rsidR="007F2893" w:rsidRPr="00961CBE" w14:paraId="5E50B2D6" w14:textId="77777777" w:rsidTr="00D733A4">
        <w:trPr>
          <w:trHeight w:val="440"/>
        </w:trPr>
        <w:tc>
          <w:tcPr>
            <w:tcW w:w="1252" w:type="dxa"/>
          </w:tcPr>
          <w:p w14:paraId="67AC42E2" w14:textId="1C65C09C" w:rsidR="007F2893" w:rsidRPr="00961CBE" w:rsidRDefault="007F2893" w:rsidP="007F2893">
            <w:pPr>
              <w:rPr>
                <w:rFonts w:ascii="Arial" w:hAnsi="Arial" w:cs="Arial"/>
                <w:sz w:val="24"/>
                <w:szCs w:val="24"/>
              </w:rPr>
            </w:pPr>
            <w:r>
              <w:rPr>
                <w:rFonts w:ascii="Arial" w:hAnsi="Arial" w:cs="Arial"/>
                <w:sz w:val="24"/>
                <w:szCs w:val="24"/>
              </w:rPr>
              <w:t>20-52</w:t>
            </w:r>
          </w:p>
        </w:tc>
        <w:tc>
          <w:tcPr>
            <w:tcW w:w="3474" w:type="dxa"/>
          </w:tcPr>
          <w:p w14:paraId="568EC5B8" w14:textId="1418617D" w:rsidR="007F2893" w:rsidRPr="00961CBE" w:rsidRDefault="007F2893" w:rsidP="007F2893">
            <w:pPr>
              <w:rPr>
                <w:rFonts w:ascii="Arial" w:hAnsi="Arial" w:cs="Arial"/>
                <w:sz w:val="24"/>
                <w:szCs w:val="24"/>
              </w:rPr>
            </w:pPr>
            <w:r>
              <w:rPr>
                <w:rFonts w:ascii="Arial" w:hAnsi="Arial" w:cs="Arial"/>
                <w:sz w:val="24"/>
                <w:szCs w:val="24"/>
              </w:rPr>
              <w:t>Resolving FY 2015 Canceling Year Lines</w:t>
            </w:r>
          </w:p>
        </w:tc>
        <w:tc>
          <w:tcPr>
            <w:tcW w:w="1656" w:type="dxa"/>
          </w:tcPr>
          <w:p w14:paraId="3E441A15" w14:textId="48397B17" w:rsidR="007F2893" w:rsidRPr="00961CBE" w:rsidRDefault="007F2893" w:rsidP="007F2893">
            <w:pPr>
              <w:rPr>
                <w:rFonts w:ascii="Arial" w:hAnsi="Arial" w:cs="Arial"/>
                <w:sz w:val="24"/>
                <w:szCs w:val="24"/>
              </w:rPr>
            </w:pPr>
            <w:r>
              <w:rPr>
                <w:rFonts w:ascii="Arial" w:hAnsi="Arial" w:cs="Arial"/>
                <w:sz w:val="24"/>
                <w:szCs w:val="24"/>
              </w:rPr>
              <w:t>6/22/2020</w:t>
            </w:r>
          </w:p>
        </w:tc>
        <w:tc>
          <w:tcPr>
            <w:tcW w:w="4140" w:type="dxa"/>
          </w:tcPr>
          <w:p w14:paraId="55A9633B" w14:textId="2FD9545D" w:rsidR="007F2893" w:rsidRPr="00961CBE" w:rsidRDefault="007F2893" w:rsidP="007F2893">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6F81FF9D" w14:textId="77777777" w:rsidTr="00D733A4">
        <w:trPr>
          <w:trHeight w:val="440"/>
        </w:trPr>
        <w:tc>
          <w:tcPr>
            <w:tcW w:w="1252" w:type="dxa"/>
          </w:tcPr>
          <w:p w14:paraId="58E9A4DE" w14:textId="36E284CD" w:rsidR="00795A99"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53</w:t>
            </w:r>
          </w:p>
        </w:tc>
        <w:tc>
          <w:tcPr>
            <w:tcW w:w="3474" w:type="dxa"/>
          </w:tcPr>
          <w:p w14:paraId="1666AC6C" w14:textId="1A4E48A0" w:rsidR="00795A99" w:rsidRPr="00961CBE" w:rsidRDefault="001C26D6" w:rsidP="00556AD2">
            <w:pPr>
              <w:rPr>
                <w:rFonts w:ascii="Arial" w:hAnsi="Arial" w:cs="Arial"/>
                <w:sz w:val="24"/>
                <w:szCs w:val="24"/>
              </w:rPr>
            </w:pPr>
            <w:r>
              <w:rPr>
                <w:rFonts w:ascii="Arial" w:hAnsi="Arial" w:cs="Arial"/>
                <w:sz w:val="24"/>
                <w:szCs w:val="24"/>
              </w:rPr>
              <w:t>FPDS Scheduled Maintenance</w:t>
            </w:r>
          </w:p>
        </w:tc>
        <w:tc>
          <w:tcPr>
            <w:tcW w:w="1656" w:type="dxa"/>
          </w:tcPr>
          <w:p w14:paraId="7BF1618E" w14:textId="2FBA926B" w:rsidR="00795A99" w:rsidRPr="00961CBE" w:rsidRDefault="001C26D6" w:rsidP="00556AD2">
            <w:pPr>
              <w:rPr>
                <w:rFonts w:ascii="Arial" w:hAnsi="Arial" w:cs="Arial"/>
                <w:sz w:val="24"/>
                <w:szCs w:val="24"/>
              </w:rPr>
            </w:pPr>
            <w:r>
              <w:rPr>
                <w:rFonts w:ascii="Arial" w:hAnsi="Arial" w:cs="Arial"/>
                <w:sz w:val="24"/>
                <w:szCs w:val="24"/>
              </w:rPr>
              <w:t>6/25/2020</w:t>
            </w:r>
          </w:p>
        </w:tc>
        <w:tc>
          <w:tcPr>
            <w:tcW w:w="4140" w:type="dxa"/>
          </w:tcPr>
          <w:p w14:paraId="763878DF" w14:textId="07891D52" w:rsidR="00795A99" w:rsidRPr="00961CBE" w:rsidRDefault="001C26D6" w:rsidP="00556AD2">
            <w:pPr>
              <w:rPr>
                <w:rFonts w:ascii="Arial" w:hAnsi="Arial" w:cs="Arial"/>
                <w:sz w:val="24"/>
                <w:szCs w:val="24"/>
              </w:rPr>
            </w:pPr>
            <w:r>
              <w:rPr>
                <w:rFonts w:ascii="Arial" w:hAnsi="Arial" w:cs="Arial"/>
                <w:sz w:val="24"/>
                <w:szCs w:val="24"/>
              </w:rPr>
              <w:t xml:space="preserve">FPDS </w:t>
            </w:r>
            <w:r w:rsidR="007F2893">
              <w:rPr>
                <w:rFonts w:ascii="Arial" w:hAnsi="Arial" w:cs="Arial"/>
                <w:sz w:val="24"/>
                <w:szCs w:val="24"/>
              </w:rPr>
              <w:t xml:space="preserve">scheduled maintenance </w:t>
            </w:r>
            <w:r>
              <w:rPr>
                <w:rFonts w:ascii="Arial" w:hAnsi="Arial" w:cs="Arial"/>
                <w:sz w:val="24"/>
                <w:szCs w:val="24"/>
              </w:rPr>
              <w:t>downtime</w:t>
            </w:r>
          </w:p>
        </w:tc>
      </w:tr>
      <w:tr w:rsidR="001C26D6" w:rsidRPr="00961CBE" w14:paraId="3037EEFD" w14:textId="77777777" w:rsidTr="00D733A4">
        <w:trPr>
          <w:trHeight w:val="440"/>
        </w:trPr>
        <w:tc>
          <w:tcPr>
            <w:tcW w:w="1252" w:type="dxa"/>
          </w:tcPr>
          <w:p w14:paraId="69382CEF" w14:textId="5BC3C551" w:rsidR="001C26D6" w:rsidRPr="00961CBE" w:rsidRDefault="001C26D6" w:rsidP="001C26D6">
            <w:pPr>
              <w:rPr>
                <w:rFonts w:ascii="Arial" w:hAnsi="Arial" w:cs="Arial"/>
                <w:sz w:val="24"/>
                <w:szCs w:val="24"/>
              </w:rPr>
            </w:pPr>
            <w:r>
              <w:rPr>
                <w:rFonts w:ascii="Arial" w:hAnsi="Arial" w:cs="Arial"/>
                <w:sz w:val="24"/>
                <w:szCs w:val="24"/>
              </w:rPr>
              <w:t>20-54</w:t>
            </w:r>
          </w:p>
        </w:tc>
        <w:tc>
          <w:tcPr>
            <w:tcW w:w="3474" w:type="dxa"/>
          </w:tcPr>
          <w:p w14:paraId="2B20B341" w14:textId="0C332DE5" w:rsidR="001C26D6" w:rsidRPr="00961CBE" w:rsidRDefault="001C26D6" w:rsidP="001C26D6">
            <w:pPr>
              <w:rPr>
                <w:rFonts w:ascii="Arial" w:hAnsi="Arial" w:cs="Arial"/>
                <w:sz w:val="24"/>
                <w:szCs w:val="24"/>
              </w:rPr>
            </w:pPr>
            <w:r>
              <w:rPr>
                <w:rFonts w:ascii="Arial" w:hAnsi="Arial" w:cs="Arial"/>
                <w:sz w:val="24"/>
                <w:szCs w:val="24"/>
              </w:rPr>
              <w:t>Resolving FY 2015 Canceling Year Lines</w:t>
            </w:r>
          </w:p>
        </w:tc>
        <w:tc>
          <w:tcPr>
            <w:tcW w:w="1656" w:type="dxa"/>
          </w:tcPr>
          <w:p w14:paraId="208983B5" w14:textId="3FF3598C" w:rsidR="001C26D6" w:rsidRPr="00961CBE" w:rsidRDefault="001C26D6" w:rsidP="001C26D6">
            <w:pPr>
              <w:rPr>
                <w:rFonts w:ascii="Arial" w:hAnsi="Arial" w:cs="Arial"/>
                <w:sz w:val="24"/>
                <w:szCs w:val="24"/>
              </w:rPr>
            </w:pPr>
            <w:r>
              <w:rPr>
                <w:rFonts w:ascii="Arial" w:hAnsi="Arial" w:cs="Arial"/>
                <w:sz w:val="24"/>
                <w:szCs w:val="24"/>
              </w:rPr>
              <w:t>6/292020</w:t>
            </w:r>
          </w:p>
        </w:tc>
        <w:tc>
          <w:tcPr>
            <w:tcW w:w="4140" w:type="dxa"/>
          </w:tcPr>
          <w:p w14:paraId="568E67FB" w14:textId="151FF751" w:rsidR="001C26D6" w:rsidRPr="00961CBE" w:rsidRDefault="001C26D6" w:rsidP="001C26D6">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7AD0A727" w14:textId="77777777" w:rsidTr="00D733A4">
        <w:trPr>
          <w:trHeight w:val="440"/>
        </w:trPr>
        <w:tc>
          <w:tcPr>
            <w:tcW w:w="1252" w:type="dxa"/>
          </w:tcPr>
          <w:p w14:paraId="6CD81B7A" w14:textId="5CB160B7" w:rsidR="00961CBE"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55</w:t>
            </w:r>
          </w:p>
        </w:tc>
        <w:tc>
          <w:tcPr>
            <w:tcW w:w="3474" w:type="dxa"/>
          </w:tcPr>
          <w:p w14:paraId="39A300AC" w14:textId="1452EA5B" w:rsidR="00961CBE" w:rsidRPr="00961CBE" w:rsidRDefault="001C26D6" w:rsidP="00556AD2">
            <w:pPr>
              <w:rPr>
                <w:rFonts w:ascii="Arial" w:hAnsi="Arial" w:cs="Arial"/>
                <w:sz w:val="24"/>
                <w:szCs w:val="24"/>
              </w:rPr>
            </w:pPr>
            <w:r>
              <w:rPr>
                <w:rFonts w:ascii="Arial" w:hAnsi="Arial" w:cs="Arial"/>
                <w:sz w:val="24"/>
                <w:szCs w:val="24"/>
              </w:rPr>
              <w:t>New FPDS Field 10Z “Source Selection Process.”</w:t>
            </w:r>
          </w:p>
        </w:tc>
        <w:tc>
          <w:tcPr>
            <w:tcW w:w="1656" w:type="dxa"/>
          </w:tcPr>
          <w:p w14:paraId="3D5D88F2" w14:textId="13BF7AD6" w:rsidR="00961CBE" w:rsidRPr="00961CBE" w:rsidRDefault="001C26D6" w:rsidP="00556AD2">
            <w:pPr>
              <w:rPr>
                <w:rFonts w:ascii="Arial" w:hAnsi="Arial" w:cs="Arial"/>
                <w:sz w:val="24"/>
                <w:szCs w:val="24"/>
              </w:rPr>
            </w:pPr>
            <w:r>
              <w:rPr>
                <w:rFonts w:ascii="Arial" w:hAnsi="Arial" w:cs="Arial"/>
                <w:sz w:val="24"/>
                <w:szCs w:val="24"/>
              </w:rPr>
              <w:t>6/29/2020</w:t>
            </w:r>
          </w:p>
        </w:tc>
        <w:tc>
          <w:tcPr>
            <w:tcW w:w="4140" w:type="dxa"/>
          </w:tcPr>
          <w:p w14:paraId="485B8A2C" w14:textId="7251F6D9" w:rsidR="00961CBE" w:rsidRPr="00961CBE" w:rsidRDefault="001C26D6" w:rsidP="00556AD2">
            <w:pPr>
              <w:rPr>
                <w:rFonts w:ascii="Arial" w:hAnsi="Arial" w:cs="Arial"/>
                <w:sz w:val="24"/>
                <w:szCs w:val="24"/>
              </w:rPr>
            </w:pPr>
            <w:r w:rsidRPr="001C26D6">
              <w:rPr>
                <w:rFonts w:ascii="Arial" w:hAnsi="Arial" w:cs="Arial"/>
                <w:sz w:val="24"/>
                <w:szCs w:val="24"/>
              </w:rPr>
              <w:t>Effective June 27, 2020, the Federal Procurement Data System-NG (FPDS-NG) added a new field 10Z, “Source Selection Process.”</w:t>
            </w:r>
          </w:p>
        </w:tc>
      </w:tr>
      <w:tr w:rsidR="00C1069A" w:rsidRPr="00961CBE" w14:paraId="407D3135" w14:textId="77777777" w:rsidTr="00D733A4">
        <w:trPr>
          <w:trHeight w:val="440"/>
        </w:trPr>
        <w:tc>
          <w:tcPr>
            <w:tcW w:w="1252" w:type="dxa"/>
          </w:tcPr>
          <w:p w14:paraId="31A975F6" w14:textId="3178CB39" w:rsidR="00961CBE" w:rsidRPr="00961CBE" w:rsidRDefault="00795A99" w:rsidP="00556AD2">
            <w:pPr>
              <w:rPr>
                <w:rFonts w:ascii="Arial" w:hAnsi="Arial" w:cs="Arial"/>
                <w:sz w:val="24"/>
                <w:szCs w:val="24"/>
              </w:rPr>
            </w:pPr>
            <w:r>
              <w:rPr>
                <w:rFonts w:ascii="Arial" w:hAnsi="Arial" w:cs="Arial"/>
                <w:sz w:val="24"/>
                <w:szCs w:val="24"/>
              </w:rPr>
              <w:lastRenderedPageBreak/>
              <w:t>20-</w:t>
            </w:r>
            <w:r w:rsidR="001C26D6">
              <w:rPr>
                <w:rFonts w:ascii="Arial" w:hAnsi="Arial" w:cs="Arial"/>
                <w:sz w:val="24"/>
                <w:szCs w:val="24"/>
              </w:rPr>
              <w:t>56</w:t>
            </w:r>
          </w:p>
        </w:tc>
        <w:tc>
          <w:tcPr>
            <w:tcW w:w="3474" w:type="dxa"/>
          </w:tcPr>
          <w:p w14:paraId="4D1F1C55" w14:textId="5E2DF68A" w:rsidR="00961CBE" w:rsidRPr="00961CBE" w:rsidRDefault="001C26D6" w:rsidP="00556AD2">
            <w:pPr>
              <w:rPr>
                <w:rFonts w:ascii="Arial" w:hAnsi="Arial" w:cs="Arial"/>
                <w:sz w:val="24"/>
                <w:szCs w:val="24"/>
              </w:rPr>
            </w:pPr>
            <w:r>
              <w:rPr>
                <w:rFonts w:ascii="Arial" w:hAnsi="Arial" w:cs="Arial"/>
                <w:sz w:val="24"/>
                <w:szCs w:val="24"/>
              </w:rPr>
              <w:t>Launch of NBS Buyer Simplified Acquisition – Systems II course Information</w:t>
            </w:r>
          </w:p>
        </w:tc>
        <w:tc>
          <w:tcPr>
            <w:tcW w:w="1656" w:type="dxa"/>
          </w:tcPr>
          <w:p w14:paraId="3D8ECB09" w14:textId="164CC01D" w:rsidR="00961CBE" w:rsidRPr="00961CBE" w:rsidRDefault="001C26D6" w:rsidP="00556AD2">
            <w:pPr>
              <w:rPr>
                <w:rFonts w:ascii="Arial" w:hAnsi="Arial" w:cs="Arial"/>
                <w:sz w:val="24"/>
                <w:szCs w:val="24"/>
              </w:rPr>
            </w:pPr>
            <w:r>
              <w:rPr>
                <w:rFonts w:ascii="Arial" w:hAnsi="Arial" w:cs="Arial"/>
                <w:sz w:val="24"/>
                <w:szCs w:val="24"/>
              </w:rPr>
              <w:t>6/30/2020</w:t>
            </w:r>
          </w:p>
        </w:tc>
        <w:tc>
          <w:tcPr>
            <w:tcW w:w="4140" w:type="dxa"/>
          </w:tcPr>
          <w:p w14:paraId="2A0FF029" w14:textId="384A5E64" w:rsidR="00961CBE" w:rsidRPr="00961CBE" w:rsidRDefault="001C26D6" w:rsidP="00556AD2">
            <w:pPr>
              <w:rPr>
                <w:rFonts w:ascii="Arial" w:hAnsi="Arial" w:cs="Arial"/>
                <w:sz w:val="24"/>
                <w:szCs w:val="24"/>
              </w:rPr>
            </w:pPr>
            <w:r>
              <w:rPr>
                <w:rFonts w:ascii="Arial" w:hAnsi="Arial" w:cs="Arial"/>
                <w:sz w:val="24"/>
                <w:szCs w:val="24"/>
              </w:rPr>
              <w:t>The NIH Business System (NBS) and Office of Acquisition &amp; Logistics Management (OALM) are excited to announce the launch of a modular computer-based course, NBS Buyer Simplified Acquisition – Systems II.</w:t>
            </w:r>
          </w:p>
        </w:tc>
      </w:tr>
      <w:tr w:rsidR="001C26D6" w:rsidRPr="00961CBE" w14:paraId="5488E8F7" w14:textId="77777777" w:rsidTr="00D733A4">
        <w:trPr>
          <w:trHeight w:val="440"/>
        </w:trPr>
        <w:tc>
          <w:tcPr>
            <w:tcW w:w="1252" w:type="dxa"/>
          </w:tcPr>
          <w:p w14:paraId="1DD58FB4" w14:textId="4EA16443" w:rsidR="001C26D6" w:rsidRPr="00961CBE" w:rsidRDefault="001C26D6" w:rsidP="001C26D6">
            <w:pPr>
              <w:rPr>
                <w:rFonts w:ascii="Arial" w:hAnsi="Arial" w:cs="Arial"/>
                <w:sz w:val="24"/>
                <w:szCs w:val="24"/>
              </w:rPr>
            </w:pPr>
            <w:r>
              <w:rPr>
                <w:rFonts w:ascii="Arial" w:hAnsi="Arial" w:cs="Arial"/>
                <w:sz w:val="24"/>
                <w:szCs w:val="24"/>
              </w:rPr>
              <w:t>20-57</w:t>
            </w:r>
          </w:p>
        </w:tc>
        <w:tc>
          <w:tcPr>
            <w:tcW w:w="3474" w:type="dxa"/>
          </w:tcPr>
          <w:p w14:paraId="24F6B0E1" w14:textId="061DBBED" w:rsidR="001C26D6" w:rsidRPr="00961CBE" w:rsidRDefault="001C26D6" w:rsidP="001C26D6">
            <w:pPr>
              <w:rPr>
                <w:rFonts w:ascii="Arial" w:hAnsi="Arial" w:cs="Arial"/>
                <w:sz w:val="24"/>
                <w:szCs w:val="24"/>
              </w:rPr>
            </w:pPr>
            <w:r>
              <w:rPr>
                <w:rFonts w:ascii="Arial" w:hAnsi="Arial" w:cs="Arial"/>
                <w:sz w:val="24"/>
                <w:szCs w:val="24"/>
              </w:rPr>
              <w:t>Resolving FY 2015 Canceling Year Lines</w:t>
            </w:r>
          </w:p>
        </w:tc>
        <w:tc>
          <w:tcPr>
            <w:tcW w:w="1656" w:type="dxa"/>
          </w:tcPr>
          <w:p w14:paraId="26EC5BF7" w14:textId="511C459B" w:rsidR="001C26D6" w:rsidRPr="00961CBE" w:rsidRDefault="001C26D6" w:rsidP="001C26D6">
            <w:pPr>
              <w:rPr>
                <w:rFonts w:ascii="Arial" w:hAnsi="Arial" w:cs="Arial"/>
                <w:sz w:val="24"/>
                <w:szCs w:val="24"/>
              </w:rPr>
            </w:pPr>
            <w:r>
              <w:rPr>
                <w:rFonts w:ascii="Arial" w:hAnsi="Arial" w:cs="Arial"/>
                <w:sz w:val="24"/>
                <w:szCs w:val="24"/>
              </w:rPr>
              <w:t>7/6/2020</w:t>
            </w:r>
          </w:p>
        </w:tc>
        <w:tc>
          <w:tcPr>
            <w:tcW w:w="4140" w:type="dxa"/>
          </w:tcPr>
          <w:p w14:paraId="5490DD5C" w14:textId="3D20C77F" w:rsidR="001C26D6" w:rsidRPr="00961CBE" w:rsidRDefault="001C26D6" w:rsidP="001C26D6">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1C26D6" w:rsidRPr="00961CBE" w14:paraId="54966326" w14:textId="77777777" w:rsidTr="00D733A4">
        <w:trPr>
          <w:trHeight w:val="440"/>
        </w:trPr>
        <w:tc>
          <w:tcPr>
            <w:tcW w:w="1252" w:type="dxa"/>
          </w:tcPr>
          <w:p w14:paraId="235E1DB4" w14:textId="45811E79" w:rsidR="001C26D6" w:rsidRPr="00961CBE" w:rsidRDefault="001C26D6" w:rsidP="001C26D6">
            <w:pPr>
              <w:rPr>
                <w:rFonts w:ascii="Arial" w:hAnsi="Arial" w:cs="Arial"/>
                <w:sz w:val="24"/>
                <w:szCs w:val="24"/>
              </w:rPr>
            </w:pPr>
            <w:r>
              <w:rPr>
                <w:rFonts w:ascii="Arial" w:hAnsi="Arial" w:cs="Arial"/>
                <w:sz w:val="24"/>
                <w:szCs w:val="24"/>
              </w:rPr>
              <w:t>20-58</w:t>
            </w:r>
          </w:p>
        </w:tc>
        <w:tc>
          <w:tcPr>
            <w:tcW w:w="3474" w:type="dxa"/>
          </w:tcPr>
          <w:p w14:paraId="6CA6514A" w14:textId="57CA4D53" w:rsidR="001C26D6" w:rsidRPr="00961CBE" w:rsidRDefault="001C26D6" w:rsidP="001C26D6">
            <w:pPr>
              <w:rPr>
                <w:rFonts w:ascii="Arial" w:hAnsi="Arial" w:cs="Arial"/>
                <w:sz w:val="24"/>
                <w:szCs w:val="24"/>
              </w:rPr>
            </w:pPr>
            <w:r>
              <w:rPr>
                <w:rFonts w:ascii="Arial" w:hAnsi="Arial" w:cs="Arial"/>
                <w:sz w:val="24"/>
                <w:szCs w:val="24"/>
              </w:rPr>
              <w:t>Resolving FY 2015 Canceling Year Lines</w:t>
            </w:r>
          </w:p>
        </w:tc>
        <w:tc>
          <w:tcPr>
            <w:tcW w:w="1656" w:type="dxa"/>
          </w:tcPr>
          <w:p w14:paraId="438967FD" w14:textId="6C0432B7" w:rsidR="001C26D6" w:rsidRPr="00961CBE" w:rsidRDefault="001C26D6" w:rsidP="001C26D6">
            <w:pPr>
              <w:rPr>
                <w:rFonts w:ascii="Arial" w:hAnsi="Arial" w:cs="Arial"/>
                <w:sz w:val="24"/>
                <w:szCs w:val="24"/>
              </w:rPr>
            </w:pPr>
            <w:r>
              <w:rPr>
                <w:rFonts w:ascii="Arial" w:hAnsi="Arial" w:cs="Arial"/>
                <w:sz w:val="24"/>
                <w:szCs w:val="24"/>
              </w:rPr>
              <w:t>7/13/2020</w:t>
            </w:r>
          </w:p>
        </w:tc>
        <w:tc>
          <w:tcPr>
            <w:tcW w:w="4140" w:type="dxa"/>
          </w:tcPr>
          <w:p w14:paraId="0967222A" w14:textId="7D86DF18" w:rsidR="001C26D6" w:rsidRPr="00961CBE" w:rsidRDefault="001C26D6" w:rsidP="001C26D6">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71075EEA" w14:textId="77777777" w:rsidTr="00D733A4">
        <w:trPr>
          <w:trHeight w:val="440"/>
        </w:trPr>
        <w:tc>
          <w:tcPr>
            <w:tcW w:w="1252" w:type="dxa"/>
          </w:tcPr>
          <w:p w14:paraId="286683FF" w14:textId="601FFCAC" w:rsidR="00961CBE"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59</w:t>
            </w:r>
          </w:p>
        </w:tc>
        <w:tc>
          <w:tcPr>
            <w:tcW w:w="3474" w:type="dxa"/>
          </w:tcPr>
          <w:p w14:paraId="7FE28348" w14:textId="69E0E993" w:rsidR="00961CBE" w:rsidRPr="00961CBE" w:rsidRDefault="001C26D6" w:rsidP="00556AD2">
            <w:pPr>
              <w:rPr>
                <w:rFonts w:ascii="Arial" w:hAnsi="Arial" w:cs="Arial"/>
                <w:sz w:val="24"/>
                <w:szCs w:val="24"/>
              </w:rPr>
            </w:pPr>
            <w:r>
              <w:rPr>
                <w:rFonts w:ascii="Arial" w:hAnsi="Arial" w:cs="Arial"/>
                <w:sz w:val="24"/>
                <w:szCs w:val="24"/>
              </w:rPr>
              <w:t>Resolving FY 2015 Canceling Year Lines</w:t>
            </w:r>
          </w:p>
        </w:tc>
        <w:tc>
          <w:tcPr>
            <w:tcW w:w="1656" w:type="dxa"/>
          </w:tcPr>
          <w:p w14:paraId="2FD36375" w14:textId="775C4AF1" w:rsidR="00961CBE" w:rsidRPr="00961CBE" w:rsidRDefault="001C26D6" w:rsidP="00556AD2">
            <w:pPr>
              <w:rPr>
                <w:rFonts w:ascii="Arial" w:hAnsi="Arial" w:cs="Arial"/>
                <w:sz w:val="24"/>
                <w:szCs w:val="24"/>
              </w:rPr>
            </w:pPr>
            <w:r>
              <w:rPr>
                <w:rFonts w:ascii="Arial" w:hAnsi="Arial" w:cs="Arial"/>
                <w:sz w:val="24"/>
                <w:szCs w:val="24"/>
              </w:rPr>
              <w:t>7/20/2020</w:t>
            </w:r>
          </w:p>
        </w:tc>
        <w:tc>
          <w:tcPr>
            <w:tcW w:w="4140" w:type="dxa"/>
          </w:tcPr>
          <w:p w14:paraId="5B9B548C" w14:textId="6106812A" w:rsidR="00961CBE" w:rsidRPr="00961CBE" w:rsidRDefault="001C26D6" w:rsidP="00556AD2">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C1069A" w:rsidRPr="00961CBE" w14:paraId="1F6A8829" w14:textId="77777777" w:rsidTr="00D733A4">
        <w:trPr>
          <w:trHeight w:val="440"/>
        </w:trPr>
        <w:tc>
          <w:tcPr>
            <w:tcW w:w="1252" w:type="dxa"/>
          </w:tcPr>
          <w:p w14:paraId="42D131F7" w14:textId="732690DE" w:rsidR="00961CBE" w:rsidRPr="00961CBE" w:rsidRDefault="00795A99" w:rsidP="00556AD2">
            <w:pPr>
              <w:rPr>
                <w:rFonts w:ascii="Arial" w:hAnsi="Arial" w:cs="Arial"/>
                <w:sz w:val="24"/>
                <w:szCs w:val="24"/>
              </w:rPr>
            </w:pPr>
            <w:r>
              <w:rPr>
                <w:rFonts w:ascii="Arial" w:hAnsi="Arial" w:cs="Arial"/>
                <w:sz w:val="24"/>
                <w:szCs w:val="24"/>
              </w:rPr>
              <w:t>20-</w:t>
            </w:r>
            <w:r w:rsidR="001C26D6">
              <w:rPr>
                <w:rFonts w:ascii="Arial" w:hAnsi="Arial" w:cs="Arial"/>
                <w:sz w:val="24"/>
                <w:szCs w:val="24"/>
              </w:rPr>
              <w:t>60</w:t>
            </w:r>
          </w:p>
        </w:tc>
        <w:tc>
          <w:tcPr>
            <w:tcW w:w="3474" w:type="dxa"/>
          </w:tcPr>
          <w:p w14:paraId="6E76AD6A" w14:textId="13D1AB71" w:rsidR="00961CBE" w:rsidRPr="00961CBE" w:rsidRDefault="001C26D6" w:rsidP="00556AD2">
            <w:pPr>
              <w:rPr>
                <w:rFonts w:ascii="Arial" w:hAnsi="Arial" w:cs="Arial"/>
                <w:sz w:val="24"/>
                <w:szCs w:val="24"/>
              </w:rPr>
            </w:pPr>
            <w:r>
              <w:rPr>
                <w:rFonts w:ascii="Arial" w:hAnsi="Arial" w:cs="Arial"/>
                <w:sz w:val="24"/>
                <w:szCs w:val="24"/>
              </w:rPr>
              <w:t>FPDS Scheduled Maintenance</w:t>
            </w:r>
          </w:p>
        </w:tc>
        <w:tc>
          <w:tcPr>
            <w:tcW w:w="1656" w:type="dxa"/>
          </w:tcPr>
          <w:p w14:paraId="59E7AFCC" w14:textId="2AC9783D" w:rsidR="00961CBE" w:rsidRPr="00961CBE" w:rsidRDefault="001C26D6" w:rsidP="00556AD2">
            <w:pPr>
              <w:rPr>
                <w:rFonts w:ascii="Arial" w:hAnsi="Arial" w:cs="Arial"/>
                <w:sz w:val="24"/>
                <w:szCs w:val="24"/>
              </w:rPr>
            </w:pPr>
            <w:r>
              <w:rPr>
                <w:rFonts w:ascii="Arial" w:hAnsi="Arial" w:cs="Arial"/>
                <w:sz w:val="24"/>
                <w:szCs w:val="24"/>
              </w:rPr>
              <w:t>7/23/2020</w:t>
            </w:r>
          </w:p>
        </w:tc>
        <w:tc>
          <w:tcPr>
            <w:tcW w:w="4140" w:type="dxa"/>
          </w:tcPr>
          <w:p w14:paraId="284FFB5B" w14:textId="64C37752" w:rsidR="00961CBE" w:rsidRPr="00961CBE" w:rsidRDefault="001C26D6" w:rsidP="00556AD2">
            <w:pPr>
              <w:rPr>
                <w:rFonts w:ascii="Arial" w:hAnsi="Arial" w:cs="Arial"/>
                <w:sz w:val="24"/>
                <w:szCs w:val="24"/>
              </w:rPr>
            </w:pPr>
            <w:r>
              <w:rPr>
                <w:rFonts w:ascii="Arial" w:hAnsi="Arial" w:cs="Arial"/>
                <w:sz w:val="24"/>
                <w:szCs w:val="24"/>
              </w:rPr>
              <w:t>FPDS scheduled</w:t>
            </w:r>
            <w:r w:rsidR="007F2893">
              <w:rPr>
                <w:rFonts w:ascii="Arial" w:hAnsi="Arial" w:cs="Arial"/>
                <w:sz w:val="24"/>
                <w:szCs w:val="24"/>
              </w:rPr>
              <w:t xml:space="preserve"> maintenance</w:t>
            </w:r>
            <w:r>
              <w:rPr>
                <w:rFonts w:ascii="Arial" w:hAnsi="Arial" w:cs="Arial"/>
                <w:sz w:val="24"/>
                <w:szCs w:val="24"/>
              </w:rPr>
              <w:t xml:space="preserve"> downtime</w:t>
            </w:r>
          </w:p>
        </w:tc>
      </w:tr>
      <w:tr w:rsidR="002F2920" w:rsidRPr="00961CBE" w14:paraId="59216F9C" w14:textId="77777777" w:rsidTr="00D733A4">
        <w:trPr>
          <w:trHeight w:val="440"/>
        </w:trPr>
        <w:tc>
          <w:tcPr>
            <w:tcW w:w="1252" w:type="dxa"/>
          </w:tcPr>
          <w:p w14:paraId="5693DEC8" w14:textId="1FCD8839" w:rsidR="002F2920" w:rsidRDefault="002F2920" w:rsidP="002F2920">
            <w:pPr>
              <w:rPr>
                <w:rFonts w:ascii="Arial" w:hAnsi="Arial" w:cs="Arial"/>
                <w:sz w:val="24"/>
                <w:szCs w:val="24"/>
              </w:rPr>
            </w:pPr>
            <w:r>
              <w:rPr>
                <w:rFonts w:ascii="Arial" w:hAnsi="Arial" w:cs="Arial"/>
                <w:sz w:val="24"/>
                <w:szCs w:val="24"/>
              </w:rPr>
              <w:t>20-61</w:t>
            </w:r>
          </w:p>
        </w:tc>
        <w:tc>
          <w:tcPr>
            <w:tcW w:w="3474" w:type="dxa"/>
          </w:tcPr>
          <w:p w14:paraId="01D6767A" w14:textId="4F449CDB" w:rsidR="002F2920" w:rsidRDefault="002F2920" w:rsidP="002F2920">
            <w:pPr>
              <w:rPr>
                <w:rFonts w:ascii="Arial" w:hAnsi="Arial" w:cs="Arial"/>
                <w:sz w:val="24"/>
                <w:szCs w:val="24"/>
              </w:rPr>
            </w:pPr>
            <w:r>
              <w:rPr>
                <w:rFonts w:ascii="Arial" w:hAnsi="Arial" w:cs="Arial"/>
                <w:sz w:val="24"/>
                <w:szCs w:val="24"/>
              </w:rPr>
              <w:t>Resolving FY 2015 Canceling Year Lines</w:t>
            </w:r>
          </w:p>
        </w:tc>
        <w:tc>
          <w:tcPr>
            <w:tcW w:w="1656" w:type="dxa"/>
          </w:tcPr>
          <w:p w14:paraId="1B8BD54E" w14:textId="4068A246" w:rsidR="002F2920" w:rsidRDefault="002F2920" w:rsidP="002F2920">
            <w:pPr>
              <w:rPr>
                <w:rFonts w:ascii="Arial" w:hAnsi="Arial" w:cs="Arial"/>
                <w:sz w:val="24"/>
                <w:szCs w:val="24"/>
              </w:rPr>
            </w:pPr>
            <w:r>
              <w:rPr>
                <w:rFonts w:ascii="Arial" w:hAnsi="Arial" w:cs="Arial"/>
                <w:sz w:val="24"/>
                <w:szCs w:val="24"/>
              </w:rPr>
              <w:t>7/27/2020</w:t>
            </w:r>
          </w:p>
        </w:tc>
        <w:tc>
          <w:tcPr>
            <w:tcW w:w="4140" w:type="dxa"/>
          </w:tcPr>
          <w:p w14:paraId="5E82C08B" w14:textId="08DAE458" w:rsidR="002F2920" w:rsidRDefault="002F2920" w:rsidP="002F2920">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2F2920" w:rsidRPr="00961CBE" w14:paraId="08E85936" w14:textId="77777777" w:rsidTr="00D733A4">
        <w:trPr>
          <w:trHeight w:val="440"/>
        </w:trPr>
        <w:tc>
          <w:tcPr>
            <w:tcW w:w="1252" w:type="dxa"/>
          </w:tcPr>
          <w:p w14:paraId="6E2187CF" w14:textId="5BC070EE" w:rsidR="002F2920" w:rsidRDefault="00A16A79" w:rsidP="002F2920">
            <w:pPr>
              <w:rPr>
                <w:rFonts w:ascii="Arial" w:hAnsi="Arial" w:cs="Arial"/>
                <w:sz w:val="24"/>
                <w:szCs w:val="24"/>
              </w:rPr>
            </w:pPr>
            <w:r>
              <w:rPr>
                <w:rFonts w:ascii="Arial" w:hAnsi="Arial" w:cs="Arial"/>
                <w:sz w:val="24"/>
                <w:szCs w:val="24"/>
              </w:rPr>
              <w:t>20-62</w:t>
            </w:r>
          </w:p>
        </w:tc>
        <w:tc>
          <w:tcPr>
            <w:tcW w:w="3474" w:type="dxa"/>
          </w:tcPr>
          <w:p w14:paraId="176411AE" w14:textId="62821477" w:rsidR="002F2920" w:rsidRDefault="00A16A79" w:rsidP="002F2920">
            <w:pPr>
              <w:rPr>
                <w:rFonts w:ascii="Arial" w:hAnsi="Arial" w:cs="Arial"/>
                <w:sz w:val="24"/>
                <w:szCs w:val="24"/>
              </w:rPr>
            </w:pPr>
            <w:r>
              <w:rPr>
                <w:rFonts w:ascii="Arial" w:hAnsi="Arial" w:cs="Arial"/>
                <w:sz w:val="24"/>
                <w:szCs w:val="24"/>
              </w:rPr>
              <w:t>DEADLINE TOMORROW! Resolving FY 2015 Canceling Year Lines</w:t>
            </w:r>
          </w:p>
        </w:tc>
        <w:tc>
          <w:tcPr>
            <w:tcW w:w="1656" w:type="dxa"/>
          </w:tcPr>
          <w:p w14:paraId="7506EEE3" w14:textId="6412461F" w:rsidR="002F2920" w:rsidRDefault="00A16A79" w:rsidP="002F2920">
            <w:pPr>
              <w:rPr>
                <w:rFonts w:ascii="Arial" w:hAnsi="Arial" w:cs="Arial"/>
                <w:sz w:val="24"/>
                <w:szCs w:val="24"/>
              </w:rPr>
            </w:pPr>
            <w:r>
              <w:rPr>
                <w:rFonts w:ascii="Arial" w:hAnsi="Arial" w:cs="Arial"/>
                <w:sz w:val="24"/>
                <w:szCs w:val="24"/>
              </w:rPr>
              <w:t>7/30/20</w:t>
            </w:r>
          </w:p>
        </w:tc>
        <w:tc>
          <w:tcPr>
            <w:tcW w:w="4140" w:type="dxa"/>
          </w:tcPr>
          <w:p w14:paraId="260780E3" w14:textId="1466C2B4" w:rsidR="002F2920" w:rsidRDefault="00A16A79" w:rsidP="002F2920">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A16A79" w:rsidRPr="00961CBE" w14:paraId="003A0565" w14:textId="77777777" w:rsidTr="00D733A4">
        <w:trPr>
          <w:trHeight w:val="440"/>
        </w:trPr>
        <w:tc>
          <w:tcPr>
            <w:tcW w:w="1252" w:type="dxa"/>
          </w:tcPr>
          <w:p w14:paraId="53F4A160" w14:textId="0693EA81" w:rsidR="00A16A79" w:rsidRDefault="00A16A79" w:rsidP="002F2920">
            <w:pPr>
              <w:rPr>
                <w:rFonts w:ascii="Arial" w:hAnsi="Arial" w:cs="Arial"/>
                <w:sz w:val="24"/>
                <w:szCs w:val="24"/>
              </w:rPr>
            </w:pPr>
            <w:r>
              <w:rPr>
                <w:rFonts w:ascii="Arial" w:hAnsi="Arial" w:cs="Arial"/>
                <w:sz w:val="24"/>
                <w:szCs w:val="24"/>
              </w:rPr>
              <w:t>20-63</w:t>
            </w:r>
          </w:p>
        </w:tc>
        <w:tc>
          <w:tcPr>
            <w:tcW w:w="3474" w:type="dxa"/>
          </w:tcPr>
          <w:p w14:paraId="6ADFCBFF" w14:textId="750759AB" w:rsidR="00A16A79" w:rsidRDefault="00A16A79" w:rsidP="002F2920">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26A1D399" w14:textId="2F16690F" w:rsidR="00A16A79" w:rsidRDefault="00A16A79" w:rsidP="002F2920">
            <w:pPr>
              <w:rPr>
                <w:rFonts w:ascii="Arial" w:hAnsi="Arial" w:cs="Arial"/>
                <w:sz w:val="24"/>
                <w:szCs w:val="24"/>
              </w:rPr>
            </w:pPr>
            <w:r>
              <w:rPr>
                <w:rFonts w:ascii="Arial" w:hAnsi="Arial" w:cs="Arial"/>
                <w:sz w:val="24"/>
                <w:szCs w:val="24"/>
              </w:rPr>
              <w:t>7/31/20</w:t>
            </w:r>
          </w:p>
        </w:tc>
        <w:tc>
          <w:tcPr>
            <w:tcW w:w="4140" w:type="dxa"/>
          </w:tcPr>
          <w:p w14:paraId="293F6608" w14:textId="4548260B" w:rsidR="00A16A79" w:rsidRDefault="00A16A79" w:rsidP="002F2920">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bl>
    <w:p w14:paraId="21F58A8C" w14:textId="7987AEDF" w:rsidR="001453A1" w:rsidRDefault="001453A1" w:rsidP="00556AD2">
      <w:pPr>
        <w:spacing w:line="240" w:lineRule="auto"/>
        <w:jc w:val="both"/>
        <w:rPr>
          <w:sz w:val="32"/>
          <w:szCs w:val="32"/>
        </w:rPr>
      </w:pPr>
    </w:p>
    <w:p w14:paraId="654CA376" w14:textId="77777777" w:rsidR="001453A1" w:rsidRDefault="001453A1">
      <w:pPr>
        <w:rPr>
          <w:sz w:val="32"/>
          <w:szCs w:val="32"/>
        </w:rPr>
      </w:pPr>
      <w:r>
        <w:rPr>
          <w:sz w:val="32"/>
          <w:szCs w:val="32"/>
        </w:rPr>
        <w:br w:type="page"/>
      </w:r>
    </w:p>
    <w:p w14:paraId="63D0E709" w14:textId="77777777" w:rsidR="00A406AE" w:rsidRPr="00A406AE" w:rsidRDefault="00A406AE" w:rsidP="001453A1">
      <w:pPr>
        <w:pStyle w:val="Heading1"/>
      </w:pPr>
      <w:r w:rsidRPr="00A406AE">
        <w:lastRenderedPageBreak/>
        <w:t>Acquisition Training Information</w:t>
      </w:r>
    </w:p>
    <w:p w14:paraId="603C3DBA"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Acquisition Training at NIH</w:t>
      </w:r>
    </w:p>
    <w:p w14:paraId="0218F346" w14:textId="77777777" w:rsidR="00A406AE" w:rsidRPr="00A406AE" w:rsidRDefault="00A406AE" w:rsidP="00556AD2">
      <w:pPr>
        <w:spacing w:after="120" w:line="240" w:lineRule="auto"/>
        <w:rPr>
          <w:rFonts w:ascii="Arial" w:eastAsia="Calibri" w:hAnsi="Arial" w:cs="Arial"/>
          <w:color w:val="0000FF"/>
          <w:spacing w:val="-1"/>
          <w:sz w:val="24"/>
          <w:szCs w:val="24"/>
          <w:u w:val="single" w:color="0000FF"/>
        </w:rPr>
      </w:pPr>
      <w:r w:rsidRPr="00A406AE">
        <w:rPr>
          <w:rFonts w:ascii="Arial" w:eastAsia="Calibri" w:hAnsi="Arial" w:cs="Arial"/>
          <w:spacing w:val="1"/>
          <w:sz w:val="24"/>
          <w:szCs w:val="24"/>
        </w:rPr>
        <w:t>A</w:t>
      </w:r>
      <w:r w:rsidRPr="00A406AE">
        <w:rPr>
          <w:rFonts w:ascii="Arial" w:eastAsia="Calibri" w:hAnsi="Arial" w:cs="Arial"/>
          <w:sz w:val="24"/>
          <w:szCs w:val="24"/>
        </w:rPr>
        <w:t>c</w:t>
      </w:r>
      <w:r w:rsidRPr="00A406AE">
        <w:rPr>
          <w:rFonts w:ascii="Arial" w:eastAsia="Calibri" w:hAnsi="Arial" w:cs="Arial"/>
          <w:spacing w:val="-1"/>
          <w:sz w:val="24"/>
          <w:szCs w:val="24"/>
        </w:rPr>
        <w:t>q</w:t>
      </w:r>
      <w:r w:rsidRPr="00A406AE">
        <w:rPr>
          <w:rFonts w:ascii="Arial" w:eastAsia="Calibri" w:hAnsi="Arial" w:cs="Arial"/>
          <w:spacing w:val="1"/>
          <w:sz w:val="24"/>
          <w:szCs w:val="24"/>
        </w:rPr>
        <w:t>u</w:t>
      </w:r>
      <w:r w:rsidRPr="00A406AE">
        <w:rPr>
          <w:rFonts w:ascii="Arial" w:eastAsia="Calibri" w:hAnsi="Arial" w:cs="Arial"/>
          <w:spacing w:val="-1"/>
          <w:sz w:val="24"/>
          <w:szCs w:val="24"/>
        </w:rPr>
        <w:t>i</w:t>
      </w:r>
      <w:r w:rsidRPr="00A406AE">
        <w:rPr>
          <w:rFonts w:ascii="Arial" w:eastAsia="Calibri" w:hAnsi="Arial" w:cs="Arial"/>
          <w:sz w:val="24"/>
          <w:szCs w:val="24"/>
        </w:rPr>
        <w:t>s</w:t>
      </w:r>
      <w:r w:rsidRPr="00A406AE">
        <w:rPr>
          <w:rFonts w:ascii="Arial" w:eastAsia="Calibri" w:hAnsi="Arial" w:cs="Arial"/>
          <w:spacing w:val="-1"/>
          <w:sz w:val="24"/>
          <w:szCs w:val="24"/>
        </w:rPr>
        <w:t>i</w:t>
      </w:r>
      <w:r w:rsidRPr="00A406AE">
        <w:rPr>
          <w:rFonts w:ascii="Arial" w:eastAsia="Calibri" w:hAnsi="Arial" w:cs="Arial"/>
          <w:spacing w:val="1"/>
          <w:sz w:val="24"/>
          <w:szCs w:val="24"/>
        </w:rPr>
        <w:t>t</w:t>
      </w:r>
      <w:r w:rsidRPr="00A406AE">
        <w:rPr>
          <w:rFonts w:ascii="Arial" w:eastAsia="Calibri" w:hAnsi="Arial" w:cs="Arial"/>
          <w:spacing w:val="-1"/>
          <w:sz w:val="24"/>
          <w:szCs w:val="24"/>
        </w:rPr>
        <w:t>i</w:t>
      </w:r>
      <w:r w:rsidRPr="00A406AE">
        <w:rPr>
          <w:rFonts w:ascii="Arial" w:eastAsia="Calibri" w:hAnsi="Arial" w:cs="Arial"/>
          <w:spacing w:val="1"/>
          <w:sz w:val="24"/>
          <w:szCs w:val="24"/>
        </w:rPr>
        <w:t>o</w:t>
      </w:r>
      <w:r w:rsidRPr="00A406AE">
        <w:rPr>
          <w:rFonts w:ascii="Arial" w:eastAsia="Calibri" w:hAnsi="Arial" w:cs="Arial"/>
          <w:sz w:val="24"/>
          <w:szCs w:val="24"/>
        </w:rPr>
        <w:t>n</w:t>
      </w:r>
      <w:r w:rsidRPr="00A406AE">
        <w:rPr>
          <w:rFonts w:ascii="Arial" w:eastAsia="Calibri" w:hAnsi="Arial" w:cs="Arial"/>
          <w:spacing w:val="2"/>
          <w:sz w:val="24"/>
          <w:szCs w:val="24"/>
        </w:rPr>
        <w:t xml:space="preserve"> t</w:t>
      </w:r>
      <w:r w:rsidRPr="00A406AE">
        <w:rPr>
          <w:rFonts w:ascii="Arial" w:eastAsia="Calibri" w:hAnsi="Arial" w:cs="Arial"/>
          <w:spacing w:val="-3"/>
          <w:sz w:val="24"/>
          <w:szCs w:val="24"/>
        </w:rPr>
        <w:t>r</w:t>
      </w:r>
      <w:r w:rsidRPr="00A406AE">
        <w:rPr>
          <w:rFonts w:ascii="Arial" w:eastAsia="Calibri" w:hAnsi="Arial" w:cs="Arial"/>
          <w:spacing w:val="1"/>
          <w:sz w:val="24"/>
          <w:szCs w:val="24"/>
        </w:rPr>
        <w:t>a</w:t>
      </w:r>
      <w:r w:rsidRPr="00A406AE">
        <w:rPr>
          <w:rFonts w:ascii="Arial" w:eastAsia="Calibri" w:hAnsi="Arial" w:cs="Arial"/>
          <w:spacing w:val="-1"/>
          <w:sz w:val="24"/>
          <w:szCs w:val="24"/>
        </w:rPr>
        <w:t>i</w:t>
      </w:r>
      <w:r w:rsidRPr="00A406AE">
        <w:rPr>
          <w:rFonts w:ascii="Arial" w:eastAsia="Calibri" w:hAnsi="Arial" w:cs="Arial"/>
          <w:spacing w:val="1"/>
          <w:sz w:val="24"/>
          <w:szCs w:val="24"/>
        </w:rPr>
        <w:t>n</w:t>
      </w:r>
      <w:r w:rsidRPr="00A406AE">
        <w:rPr>
          <w:rFonts w:ascii="Arial" w:eastAsia="Calibri" w:hAnsi="Arial" w:cs="Arial"/>
          <w:spacing w:val="-1"/>
          <w:sz w:val="24"/>
          <w:szCs w:val="24"/>
        </w:rPr>
        <w:t>i</w:t>
      </w:r>
      <w:r w:rsidRPr="00A406AE">
        <w:rPr>
          <w:rFonts w:ascii="Arial" w:eastAsia="Calibri" w:hAnsi="Arial" w:cs="Arial"/>
          <w:spacing w:val="1"/>
          <w:sz w:val="24"/>
          <w:szCs w:val="24"/>
        </w:rPr>
        <w:t>n</w:t>
      </w:r>
      <w:r w:rsidRPr="00A406AE">
        <w:rPr>
          <w:rFonts w:ascii="Arial" w:eastAsia="Calibri" w:hAnsi="Arial" w:cs="Arial"/>
          <w:sz w:val="24"/>
          <w:szCs w:val="24"/>
        </w:rPr>
        <w:t>g</w:t>
      </w:r>
      <w:r w:rsidRPr="00A406AE">
        <w:rPr>
          <w:rFonts w:ascii="Arial" w:eastAsia="Calibri" w:hAnsi="Arial" w:cs="Arial"/>
          <w:spacing w:val="-1"/>
          <w:sz w:val="24"/>
          <w:szCs w:val="24"/>
        </w:rPr>
        <w:t xml:space="preserve"> cl</w:t>
      </w:r>
      <w:r w:rsidRPr="00A406AE">
        <w:rPr>
          <w:rFonts w:ascii="Arial" w:eastAsia="Calibri" w:hAnsi="Arial" w:cs="Arial"/>
          <w:spacing w:val="1"/>
          <w:sz w:val="24"/>
          <w:szCs w:val="24"/>
        </w:rPr>
        <w:t>a</w:t>
      </w:r>
      <w:r w:rsidRPr="00A406AE">
        <w:rPr>
          <w:rFonts w:ascii="Arial" w:eastAsia="Calibri" w:hAnsi="Arial" w:cs="Arial"/>
          <w:sz w:val="24"/>
          <w:szCs w:val="24"/>
        </w:rPr>
        <w:t>ss</w:t>
      </w:r>
      <w:r w:rsidRPr="00A406AE">
        <w:rPr>
          <w:rFonts w:ascii="Arial" w:eastAsia="Calibri" w:hAnsi="Arial" w:cs="Arial"/>
          <w:spacing w:val="1"/>
          <w:sz w:val="24"/>
          <w:szCs w:val="24"/>
        </w:rPr>
        <w:t>e</w:t>
      </w:r>
      <w:r w:rsidRPr="00A406AE">
        <w:rPr>
          <w:rFonts w:ascii="Arial" w:eastAsia="Calibri" w:hAnsi="Arial" w:cs="Arial"/>
          <w:sz w:val="24"/>
          <w:szCs w:val="24"/>
        </w:rPr>
        <w:t>s</w:t>
      </w:r>
      <w:r w:rsidRPr="00A406AE">
        <w:rPr>
          <w:rFonts w:ascii="Arial" w:eastAsia="Calibri" w:hAnsi="Arial" w:cs="Arial"/>
          <w:spacing w:val="1"/>
          <w:sz w:val="24"/>
          <w:szCs w:val="24"/>
        </w:rPr>
        <w:t xml:space="preserve"> that are offered by the NIH Training Center </w:t>
      </w:r>
      <w:r w:rsidRPr="00A406AE">
        <w:rPr>
          <w:rFonts w:ascii="Arial" w:eastAsia="Calibri" w:hAnsi="Arial" w:cs="Arial"/>
          <w:sz w:val="24"/>
          <w:szCs w:val="24"/>
        </w:rPr>
        <w:t>can</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b</w:t>
      </w:r>
      <w:r w:rsidRPr="00A406AE">
        <w:rPr>
          <w:rFonts w:ascii="Arial" w:eastAsia="Calibri" w:hAnsi="Arial" w:cs="Arial"/>
          <w:sz w:val="24"/>
          <w:szCs w:val="24"/>
        </w:rPr>
        <w:t>e</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a</w:t>
      </w:r>
      <w:r w:rsidRPr="00A406AE">
        <w:rPr>
          <w:rFonts w:ascii="Arial" w:eastAsia="Calibri" w:hAnsi="Arial" w:cs="Arial"/>
          <w:sz w:val="24"/>
          <w:szCs w:val="24"/>
        </w:rPr>
        <w:t>c</w:t>
      </w:r>
      <w:r w:rsidRPr="00A406AE">
        <w:rPr>
          <w:rFonts w:ascii="Arial" w:eastAsia="Calibri" w:hAnsi="Arial" w:cs="Arial"/>
          <w:spacing w:val="-2"/>
          <w:sz w:val="24"/>
          <w:szCs w:val="24"/>
        </w:rPr>
        <w:t>c</w:t>
      </w:r>
      <w:r w:rsidRPr="00A406AE">
        <w:rPr>
          <w:rFonts w:ascii="Arial" w:eastAsia="Calibri" w:hAnsi="Arial" w:cs="Arial"/>
          <w:spacing w:val="1"/>
          <w:sz w:val="24"/>
          <w:szCs w:val="24"/>
        </w:rPr>
        <w:t>e</w:t>
      </w:r>
      <w:r w:rsidRPr="00A406AE">
        <w:rPr>
          <w:rFonts w:ascii="Arial" w:eastAsia="Calibri" w:hAnsi="Arial" w:cs="Arial"/>
          <w:sz w:val="24"/>
          <w:szCs w:val="24"/>
        </w:rPr>
        <w:t>ss</w:t>
      </w:r>
      <w:r w:rsidRPr="00A406AE">
        <w:rPr>
          <w:rFonts w:ascii="Arial" w:eastAsia="Calibri" w:hAnsi="Arial" w:cs="Arial"/>
          <w:spacing w:val="-1"/>
          <w:sz w:val="24"/>
          <w:szCs w:val="24"/>
        </w:rPr>
        <w:t>e</w:t>
      </w:r>
      <w:r w:rsidRPr="00A406AE">
        <w:rPr>
          <w:rFonts w:ascii="Arial" w:eastAsia="Calibri" w:hAnsi="Arial" w:cs="Arial"/>
          <w:sz w:val="24"/>
          <w:szCs w:val="24"/>
        </w:rPr>
        <w:t>d</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a</w:t>
      </w:r>
      <w:r w:rsidRPr="00A406AE">
        <w:rPr>
          <w:rFonts w:ascii="Arial" w:eastAsia="Calibri" w:hAnsi="Arial" w:cs="Arial"/>
          <w:sz w:val="24"/>
          <w:szCs w:val="24"/>
        </w:rPr>
        <w:t>t</w:t>
      </w:r>
      <w:r w:rsidRPr="00A406AE">
        <w:rPr>
          <w:rFonts w:ascii="Arial" w:eastAsia="Calibri" w:hAnsi="Arial" w:cs="Arial"/>
          <w:spacing w:val="-1"/>
          <w:sz w:val="24"/>
          <w:szCs w:val="24"/>
        </w:rPr>
        <w:t xml:space="preserve"> </w:t>
      </w:r>
      <w:r w:rsidRPr="00A406AE">
        <w:rPr>
          <w:rFonts w:ascii="Arial" w:eastAsia="Calibri" w:hAnsi="Arial" w:cs="Arial"/>
          <w:spacing w:val="1"/>
          <w:sz w:val="24"/>
          <w:szCs w:val="24"/>
        </w:rPr>
        <w:t>th</w:t>
      </w:r>
      <w:r w:rsidRPr="00A406AE">
        <w:rPr>
          <w:rFonts w:ascii="Arial" w:eastAsia="Calibri" w:hAnsi="Arial" w:cs="Arial"/>
          <w:sz w:val="24"/>
          <w:szCs w:val="24"/>
        </w:rPr>
        <w:t>e</w:t>
      </w:r>
      <w:r w:rsidRPr="00A406AE">
        <w:rPr>
          <w:rFonts w:ascii="Arial" w:eastAsia="Calibri" w:hAnsi="Arial" w:cs="Arial"/>
          <w:spacing w:val="-3"/>
          <w:sz w:val="24"/>
          <w:szCs w:val="24"/>
        </w:rPr>
        <w:t xml:space="preserve"> </w:t>
      </w:r>
      <w:r w:rsidRPr="00A406AE">
        <w:rPr>
          <w:rFonts w:ascii="Arial" w:eastAsia="Calibri" w:hAnsi="Arial" w:cs="Arial"/>
          <w:spacing w:val="3"/>
          <w:sz w:val="24"/>
          <w:szCs w:val="24"/>
        </w:rPr>
        <w:t>f</w:t>
      </w:r>
      <w:r w:rsidRPr="00A406AE">
        <w:rPr>
          <w:rFonts w:ascii="Arial" w:eastAsia="Calibri" w:hAnsi="Arial" w:cs="Arial"/>
          <w:spacing w:val="1"/>
          <w:sz w:val="24"/>
          <w:szCs w:val="24"/>
        </w:rPr>
        <w:t>o</w:t>
      </w:r>
      <w:r w:rsidRPr="00A406AE">
        <w:rPr>
          <w:rFonts w:ascii="Arial" w:eastAsia="Calibri" w:hAnsi="Arial" w:cs="Arial"/>
          <w:spacing w:val="-1"/>
          <w:sz w:val="24"/>
          <w:szCs w:val="24"/>
        </w:rPr>
        <w:t>ll</w:t>
      </w:r>
      <w:r w:rsidRPr="00A406AE">
        <w:rPr>
          <w:rFonts w:ascii="Arial" w:eastAsia="Calibri" w:hAnsi="Arial" w:cs="Arial"/>
          <w:spacing w:val="1"/>
          <w:sz w:val="24"/>
          <w:szCs w:val="24"/>
        </w:rPr>
        <w:t>o</w:t>
      </w:r>
      <w:r w:rsidRPr="00A406AE">
        <w:rPr>
          <w:rFonts w:ascii="Arial" w:eastAsia="Calibri" w:hAnsi="Arial" w:cs="Arial"/>
          <w:spacing w:val="-3"/>
          <w:sz w:val="24"/>
          <w:szCs w:val="24"/>
        </w:rPr>
        <w:t>w</w:t>
      </w:r>
      <w:r w:rsidRPr="00A406AE">
        <w:rPr>
          <w:rFonts w:ascii="Arial" w:eastAsia="Calibri" w:hAnsi="Arial" w:cs="Arial"/>
          <w:spacing w:val="-1"/>
          <w:sz w:val="24"/>
          <w:szCs w:val="24"/>
        </w:rPr>
        <w:t>i</w:t>
      </w:r>
      <w:r w:rsidRPr="00A406AE">
        <w:rPr>
          <w:rFonts w:ascii="Arial" w:eastAsia="Calibri" w:hAnsi="Arial" w:cs="Arial"/>
          <w:spacing w:val="1"/>
          <w:sz w:val="24"/>
          <w:szCs w:val="24"/>
        </w:rPr>
        <w:t xml:space="preserve">ng </w:t>
      </w:r>
      <w:r w:rsidRPr="00A406AE">
        <w:rPr>
          <w:rFonts w:ascii="Arial" w:eastAsia="Calibri" w:hAnsi="Arial" w:cs="Arial"/>
          <w:sz w:val="24"/>
          <w:szCs w:val="24"/>
        </w:rPr>
        <w:t>li</w:t>
      </w:r>
      <w:r w:rsidRPr="00A406AE">
        <w:rPr>
          <w:rFonts w:ascii="Arial" w:eastAsia="Calibri" w:hAnsi="Arial" w:cs="Arial"/>
          <w:spacing w:val="1"/>
          <w:sz w:val="24"/>
          <w:szCs w:val="24"/>
        </w:rPr>
        <w:t>n</w:t>
      </w:r>
      <w:r w:rsidRPr="00A406AE">
        <w:rPr>
          <w:rFonts w:ascii="Arial" w:eastAsia="Calibri" w:hAnsi="Arial" w:cs="Arial"/>
          <w:sz w:val="24"/>
          <w:szCs w:val="24"/>
        </w:rPr>
        <w:t xml:space="preserve">k: </w:t>
      </w:r>
      <w:r w:rsidRPr="00A406AE">
        <w:rPr>
          <w:rFonts w:ascii="Arial" w:eastAsia="Calibri" w:hAnsi="Arial" w:cs="Arial"/>
          <w:color w:val="0000FF"/>
          <w:spacing w:val="-65"/>
          <w:sz w:val="24"/>
          <w:szCs w:val="24"/>
        </w:rPr>
        <w:t xml:space="preserve"> </w:t>
      </w:r>
      <w:hyperlink r:id="rId34" w:tooltip="Acquisitions Management Courses" w:history="1">
        <w:r w:rsidRPr="00A406AE">
          <w:rPr>
            <w:rFonts w:ascii="Arial" w:eastAsia="Calibri" w:hAnsi="Arial" w:cs="Arial"/>
            <w:color w:val="0563C1"/>
            <w:spacing w:val="-1"/>
            <w:sz w:val="24"/>
            <w:szCs w:val="24"/>
            <w:u w:val="single"/>
          </w:rPr>
          <w:t>Acquisitions Management Courses</w:t>
        </w:r>
      </w:hyperlink>
    </w:p>
    <w:p w14:paraId="12396AB9"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Federal Acquisition Certification Coursework</w:t>
      </w:r>
    </w:p>
    <w:p w14:paraId="3FBFE7B8" w14:textId="77777777" w:rsidR="00A406AE" w:rsidRPr="00A406AE" w:rsidRDefault="00A406AE" w:rsidP="00556AD2">
      <w:pPr>
        <w:spacing w:after="120" w:line="240" w:lineRule="auto"/>
        <w:rPr>
          <w:rFonts w:ascii="Arial" w:eastAsia="Calibri" w:hAnsi="Arial" w:cs="Arial"/>
          <w:sz w:val="24"/>
          <w:szCs w:val="24"/>
        </w:rPr>
      </w:pPr>
      <w:r w:rsidRPr="00A406AE">
        <w:rPr>
          <w:rFonts w:ascii="Arial" w:eastAsia="Calibri" w:hAnsi="Arial" w:cs="Arial"/>
          <w:sz w:val="24"/>
          <w:szCs w:val="24"/>
        </w:rPr>
        <w:t xml:space="preserve">CON courses and other Federal Acquisition Certification required courses can be found at the </w:t>
      </w:r>
      <w:hyperlink r:id="rId35" w:tooltip="NIH Training Center" w:history="1">
        <w:r w:rsidRPr="00A406AE">
          <w:rPr>
            <w:rFonts w:ascii="Arial" w:eastAsia="Calibri" w:hAnsi="Arial" w:cs="Arial"/>
            <w:color w:val="0563C1"/>
            <w:sz w:val="24"/>
            <w:szCs w:val="24"/>
            <w:u w:val="single"/>
          </w:rPr>
          <w:t>NIH Training Center</w:t>
        </w:r>
      </w:hyperlink>
      <w:r w:rsidRPr="00A406AE">
        <w:rPr>
          <w:rFonts w:ascii="Arial" w:eastAsia="Calibri" w:hAnsi="Arial" w:cs="Arial"/>
          <w:sz w:val="24"/>
          <w:szCs w:val="24"/>
        </w:rPr>
        <w:t xml:space="preserve">, </w:t>
      </w:r>
      <w:hyperlink r:id="rId36" w:tooltip="Federal Acquisition Institute" w:history="1">
        <w:r w:rsidRPr="00A406AE">
          <w:rPr>
            <w:rFonts w:ascii="Arial" w:eastAsia="Calibri" w:hAnsi="Arial" w:cs="Arial"/>
            <w:color w:val="0563C1"/>
            <w:sz w:val="24"/>
            <w:szCs w:val="24"/>
            <w:u w:val="single"/>
          </w:rPr>
          <w:t>Federal Acquisition Institute</w:t>
        </w:r>
      </w:hyperlink>
      <w:r w:rsidRPr="00A406AE">
        <w:rPr>
          <w:rFonts w:ascii="Arial" w:eastAsia="Calibri" w:hAnsi="Arial" w:cs="Arial"/>
          <w:sz w:val="24"/>
          <w:szCs w:val="24"/>
        </w:rPr>
        <w:t xml:space="preserve">, and </w:t>
      </w:r>
      <w:hyperlink r:id="rId37" w:tooltip="DAU Training Center" w:history="1">
        <w:r w:rsidRPr="00A406AE">
          <w:rPr>
            <w:rFonts w:ascii="Arial" w:eastAsia="Calibri" w:hAnsi="Arial" w:cs="Arial"/>
            <w:color w:val="0563C1"/>
            <w:sz w:val="24"/>
            <w:szCs w:val="24"/>
            <w:u w:val="single"/>
          </w:rPr>
          <w:t>Defense Acquisition University</w:t>
        </w:r>
      </w:hyperlink>
      <w:r w:rsidRPr="00A406AE">
        <w:rPr>
          <w:rFonts w:ascii="Arial" w:eastAsia="Calibri" w:hAnsi="Arial" w:cs="Arial"/>
          <w:sz w:val="24"/>
          <w:szCs w:val="24"/>
        </w:rPr>
        <w:t>.</w:t>
      </w:r>
    </w:p>
    <w:p w14:paraId="40294447" w14:textId="08BD997C" w:rsidR="00A406AE" w:rsidRPr="00A406AE" w:rsidRDefault="00A406AE" w:rsidP="00556AD2">
      <w:pPr>
        <w:tabs>
          <w:tab w:val="left" w:pos="6828"/>
        </w:tabs>
        <w:spacing w:after="0" w:line="240" w:lineRule="auto"/>
        <w:contextualSpacing/>
        <w:rPr>
          <w:rFonts w:ascii="Arial" w:eastAsia="Calibri" w:hAnsi="Arial" w:cs="Arial"/>
          <w:b/>
          <w:bCs/>
          <w:sz w:val="28"/>
          <w:szCs w:val="28"/>
        </w:rPr>
      </w:pPr>
      <w:r w:rsidRPr="00A406AE">
        <w:rPr>
          <w:rFonts w:ascii="Arial" w:eastAsia="Calibri" w:hAnsi="Arial" w:cs="Arial"/>
          <w:b/>
          <w:bCs/>
          <w:sz w:val="28"/>
          <w:szCs w:val="28"/>
        </w:rPr>
        <w:t>Section 508 Accessibility Training</w:t>
      </w:r>
      <w:r w:rsidR="00122BB7">
        <w:rPr>
          <w:rFonts w:ascii="Arial" w:eastAsia="Calibri" w:hAnsi="Arial" w:cs="Arial"/>
          <w:b/>
          <w:bCs/>
          <w:sz w:val="28"/>
          <w:szCs w:val="28"/>
        </w:rPr>
        <w:tab/>
      </w:r>
    </w:p>
    <w:p w14:paraId="0A2D27BF" w14:textId="77777777" w:rsidR="00A406AE" w:rsidRPr="00A406AE" w:rsidRDefault="00A406AE" w:rsidP="00556AD2">
      <w:pPr>
        <w:spacing w:after="120" w:line="240" w:lineRule="auto"/>
        <w:rPr>
          <w:rFonts w:ascii="Arial" w:eastAsia="Calibri" w:hAnsi="Arial" w:cs="Arial"/>
          <w:sz w:val="24"/>
          <w:szCs w:val="24"/>
        </w:rPr>
      </w:pPr>
      <w:r w:rsidRPr="00A406AE">
        <w:rPr>
          <w:rFonts w:ascii="Arial" w:eastAsia="Calibri" w:hAnsi="Arial" w:cs="Arial"/>
          <w:sz w:val="24"/>
          <w:szCs w:val="24"/>
        </w:rPr>
        <w:t>Section 508 Accessibility Training courses can be accessed at</w:t>
      </w:r>
      <w:bookmarkStart w:id="0" w:name="_Hlk419199521"/>
      <w:r w:rsidRPr="00A406AE">
        <w:rPr>
          <w:rFonts w:ascii="Arial" w:eastAsia="Calibri" w:hAnsi="Arial" w:cs="Arial"/>
          <w:sz w:val="24"/>
          <w:szCs w:val="24"/>
        </w:rPr>
        <w:t xml:space="preserve">: </w:t>
      </w:r>
      <w:hyperlink r:id="rId38" w:tooltip="CIT 508 Training Webpage" w:history="1">
        <w:bookmarkEnd w:id="0"/>
        <w:r w:rsidRPr="00A406AE">
          <w:rPr>
            <w:rFonts w:ascii="Arial" w:eastAsia="Calibri" w:hAnsi="Arial" w:cs="Arial"/>
            <w:color w:val="0563C1"/>
            <w:sz w:val="24"/>
            <w:szCs w:val="24"/>
            <w:u w:val="single"/>
          </w:rPr>
          <w:t>CIT Section 508 Accessibility Training Website</w:t>
        </w:r>
      </w:hyperlink>
      <w:r w:rsidRPr="00A406AE">
        <w:rPr>
          <w:rFonts w:ascii="Arial" w:eastAsia="Calibri" w:hAnsi="Arial" w:cs="Arial"/>
          <w:sz w:val="24"/>
          <w:szCs w:val="24"/>
        </w:rPr>
        <w:t>.</w:t>
      </w:r>
    </w:p>
    <w:p w14:paraId="015A7699"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Green Purchasing Training</w:t>
      </w:r>
    </w:p>
    <w:p w14:paraId="06848581" w14:textId="77777777" w:rsidR="00A406AE" w:rsidRDefault="00A406AE" w:rsidP="00556AD2">
      <w:pPr>
        <w:spacing w:after="0" w:line="240" w:lineRule="auto"/>
        <w:rPr>
          <w:rFonts w:ascii="Arial" w:eastAsia="Calibri" w:hAnsi="Arial" w:cs="Arial"/>
          <w:color w:val="000000"/>
          <w:sz w:val="24"/>
          <w:szCs w:val="24"/>
        </w:rPr>
      </w:pPr>
      <w:r w:rsidRPr="00A406AE">
        <w:rPr>
          <w:rFonts w:ascii="Arial" w:eastAsia="Calibri" w:hAnsi="Arial" w:cs="Arial"/>
          <w:color w:val="000000"/>
          <w:sz w:val="24"/>
          <w:szCs w:val="24"/>
        </w:rPr>
        <w:t xml:space="preserve">Green Purchasing Training and other Green Training courses can be found at: </w:t>
      </w:r>
      <w:hyperlink r:id="rId39" w:tooltip="OALM Green Purchasing Website" w:history="1">
        <w:r w:rsidRPr="00A406AE">
          <w:rPr>
            <w:rFonts w:ascii="Arial" w:eastAsia="Calibri" w:hAnsi="Arial" w:cs="Arial"/>
            <w:color w:val="0563C1"/>
            <w:sz w:val="24"/>
            <w:szCs w:val="24"/>
            <w:u w:val="single"/>
          </w:rPr>
          <w:t>OALM Green Purchasing Website</w:t>
        </w:r>
      </w:hyperlink>
      <w:r w:rsidRPr="00A406AE">
        <w:rPr>
          <w:rFonts w:ascii="Arial" w:eastAsia="Calibri" w:hAnsi="Arial" w:cs="Arial"/>
          <w:color w:val="000000"/>
          <w:sz w:val="24"/>
          <w:szCs w:val="24"/>
        </w:rPr>
        <w:t>.</w:t>
      </w:r>
    </w:p>
    <w:p w14:paraId="25026901" w14:textId="77777777" w:rsidR="00FE5BB8" w:rsidRDefault="00FE5BB8" w:rsidP="00556AD2">
      <w:pPr>
        <w:spacing w:after="0" w:line="240" w:lineRule="auto"/>
        <w:rPr>
          <w:rFonts w:ascii="Arial" w:eastAsia="Calibri" w:hAnsi="Arial" w:cs="Arial"/>
          <w:color w:val="000000"/>
          <w:sz w:val="24"/>
          <w:szCs w:val="24"/>
        </w:rPr>
      </w:pPr>
    </w:p>
    <w:p w14:paraId="688300BE" w14:textId="77777777" w:rsidR="00FE5BB8" w:rsidRPr="00A406AE" w:rsidRDefault="00FE5BB8" w:rsidP="00556AD2">
      <w:pPr>
        <w:spacing w:after="0" w:line="240" w:lineRule="auto"/>
        <w:rPr>
          <w:rFonts w:ascii="Arial" w:eastAsia="Calibri" w:hAnsi="Arial" w:cs="Arial"/>
          <w:color w:val="000000"/>
          <w:sz w:val="24"/>
          <w:szCs w:val="24"/>
        </w:rPr>
      </w:pPr>
    </w:p>
    <w:p w14:paraId="04C06E7A" w14:textId="77777777" w:rsidR="00FE5BB8" w:rsidRPr="00FE5BB8" w:rsidRDefault="00FE5BB8" w:rsidP="001453A1">
      <w:pPr>
        <w:pStyle w:val="Heading1"/>
      </w:pPr>
      <w:r w:rsidRPr="00FE5BB8">
        <w:t>NIH Blanket Purchase Agreement (BPA) Lists Available Online</w:t>
      </w:r>
    </w:p>
    <w:p w14:paraId="655AFA43" w14:textId="77777777" w:rsidR="00FE5BB8" w:rsidRPr="00FE5BB8" w:rsidRDefault="00FE5BB8" w:rsidP="00556AD2">
      <w:pPr>
        <w:spacing w:after="0" w:line="240" w:lineRule="auto"/>
        <w:rPr>
          <w:rFonts w:ascii="Arial" w:eastAsia="Calibri" w:hAnsi="Arial" w:cs="Arial"/>
          <w:sz w:val="24"/>
          <w:szCs w:val="24"/>
        </w:rPr>
      </w:pPr>
    </w:p>
    <w:p w14:paraId="6E3FC22A" w14:textId="77777777" w:rsidR="00FE5BB8" w:rsidRPr="00FE5BB8" w:rsidRDefault="00FE5BB8" w:rsidP="00556AD2">
      <w:pPr>
        <w:spacing w:after="120" w:line="240" w:lineRule="auto"/>
        <w:rPr>
          <w:rFonts w:ascii="Arial" w:eastAsia="Calibri" w:hAnsi="Arial" w:cs="Arial"/>
          <w:sz w:val="24"/>
          <w:szCs w:val="24"/>
        </w:rPr>
      </w:pPr>
      <w:r w:rsidRPr="00FE5BB8">
        <w:rPr>
          <w:rFonts w:ascii="Arial" w:eastAsia="Calibri" w:hAnsi="Arial" w:cs="Arial"/>
          <w:sz w:val="24"/>
          <w:szCs w:val="24"/>
        </w:rPr>
        <w:t xml:space="preserve">Lists of all NIH Blanket Purchase Agreements (BPAs) can be found at the NIH Blanket Purchase Agreement </w:t>
      </w:r>
      <w:hyperlink r:id="rId40" w:tooltip="NIH Blanket Purchase Agreement webpage" w:history="1">
        <w:r w:rsidRPr="00FE5BB8">
          <w:rPr>
            <w:rFonts w:ascii="Arial" w:eastAsia="Calibri" w:hAnsi="Arial" w:cs="Arial"/>
            <w:color w:val="0563C1"/>
            <w:sz w:val="24"/>
            <w:szCs w:val="24"/>
            <w:u w:val="single"/>
          </w:rPr>
          <w:t>webpage</w:t>
        </w:r>
      </w:hyperlink>
      <w:r w:rsidRPr="00FE5BB8">
        <w:rPr>
          <w:rFonts w:ascii="Arial" w:eastAsia="Calibri" w:hAnsi="Arial" w:cs="Arial"/>
          <w:sz w:val="24"/>
          <w:szCs w:val="24"/>
        </w:rPr>
        <w:t>.</w:t>
      </w:r>
    </w:p>
    <w:p w14:paraId="1F08BFB1" w14:textId="77777777" w:rsidR="00FE5BB8" w:rsidRPr="00FE5BB8" w:rsidRDefault="00FE5BB8" w:rsidP="00556AD2">
      <w:pPr>
        <w:spacing w:after="120" w:line="240" w:lineRule="auto"/>
        <w:rPr>
          <w:rFonts w:ascii="Arial" w:eastAsia="Calibri" w:hAnsi="Arial" w:cs="Arial"/>
          <w:sz w:val="24"/>
          <w:szCs w:val="24"/>
        </w:rPr>
      </w:pPr>
      <w:r w:rsidRPr="00FE5BB8">
        <w:rPr>
          <w:rFonts w:ascii="Arial" w:eastAsia="Calibri" w:hAnsi="Arial" w:cs="Arial"/>
          <w:sz w:val="24"/>
          <w:szCs w:val="24"/>
        </w:rPr>
        <w:t>This location contains Two BPA Lists:</w:t>
      </w:r>
    </w:p>
    <w:p w14:paraId="2DAEBBA6" w14:textId="77777777" w:rsidR="00FE5BB8" w:rsidRPr="00FE5BB8" w:rsidRDefault="00FE5BB8" w:rsidP="00556AD2">
      <w:pPr>
        <w:spacing w:after="0" w:line="240" w:lineRule="auto"/>
        <w:ind w:left="450"/>
        <w:rPr>
          <w:rFonts w:ascii="Arial" w:eastAsia="Calibri" w:hAnsi="Arial" w:cs="Arial"/>
          <w:sz w:val="24"/>
          <w:szCs w:val="24"/>
        </w:rPr>
      </w:pPr>
      <w:r w:rsidRPr="00FE5BB8">
        <w:rPr>
          <w:rFonts w:ascii="Arial" w:eastAsia="Calibri" w:hAnsi="Arial" w:cs="Arial"/>
          <w:sz w:val="24"/>
          <w:szCs w:val="24"/>
        </w:rPr>
        <w:t>1.  Complete vendor alphabetical list;</w:t>
      </w:r>
    </w:p>
    <w:p w14:paraId="23619AAF" w14:textId="77777777" w:rsidR="00FE5BB8" w:rsidRPr="00FE5BB8" w:rsidRDefault="00FE5BB8" w:rsidP="00556AD2">
      <w:pPr>
        <w:spacing w:after="120" w:line="240" w:lineRule="auto"/>
        <w:ind w:left="446"/>
        <w:rPr>
          <w:rFonts w:ascii="Arial" w:eastAsia="Calibri" w:hAnsi="Arial" w:cs="Arial"/>
          <w:sz w:val="24"/>
          <w:szCs w:val="24"/>
        </w:rPr>
      </w:pPr>
      <w:r w:rsidRPr="00FE5BB8">
        <w:rPr>
          <w:rFonts w:ascii="Arial" w:eastAsia="Calibri" w:hAnsi="Arial" w:cs="Arial"/>
          <w:sz w:val="24"/>
          <w:szCs w:val="24"/>
        </w:rPr>
        <w:t>2.  Vendor list sorted by commodity; and</w:t>
      </w:r>
    </w:p>
    <w:p w14:paraId="7277FB12" w14:textId="77777777" w:rsidR="00FE5BB8" w:rsidRDefault="00FE5BB8" w:rsidP="00556AD2">
      <w:pPr>
        <w:spacing w:after="0" w:line="240" w:lineRule="auto"/>
        <w:rPr>
          <w:rFonts w:ascii="Arial" w:eastAsia="Calibri" w:hAnsi="Arial" w:cs="Arial"/>
          <w:sz w:val="24"/>
          <w:szCs w:val="24"/>
        </w:rPr>
      </w:pPr>
      <w:r w:rsidRPr="00FE5BB8">
        <w:rPr>
          <w:rFonts w:ascii="Arial" w:eastAsia="Calibri" w:hAnsi="Arial" w:cs="Arial"/>
          <w:sz w:val="24"/>
          <w:szCs w:val="24"/>
        </w:rPr>
        <w:t xml:space="preserve">If you have any questions or need further clarification, please contact the BPA helpline at 301-496-5212 or </w:t>
      </w:r>
      <w:hyperlink r:id="rId41" w:tooltip="BPA Program Helpdesk email" w:history="1">
        <w:r w:rsidRPr="00FE5BB8">
          <w:rPr>
            <w:rFonts w:ascii="Arial" w:eastAsia="Calibri" w:hAnsi="Arial" w:cs="Arial"/>
            <w:color w:val="0563C1"/>
            <w:sz w:val="24"/>
            <w:szCs w:val="24"/>
            <w:u w:val="single"/>
          </w:rPr>
          <w:t>email</w:t>
        </w:r>
      </w:hyperlink>
      <w:r w:rsidRPr="00FE5BB8">
        <w:rPr>
          <w:rFonts w:ascii="Arial" w:eastAsia="Calibri" w:hAnsi="Arial" w:cs="Arial"/>
          <w:sz w:val="24"/>
          <w:szCs w:val="24"/>
        </w:rPr>
        <w:t>.</w:t>
      </w:r>
    </w:p>
    <w:p w14:paraId="7FE7D706" w14:textId="77777777" w:rsidR="00C1069A" w:rsidRDefault="00C1069A" w:rsidP="00556AD2">
      <w:pPr>
        <w:spacing w:after="0" w:line="240" w:lineRule="auto"/>
        <w:rPr>
          <w:rFonts w:ascii="Arial" w:eastAsia="Calibri" w:hAnsi="Arial" w:cs="Arial"/>
          <w:sz w:val="24"/>
          <w:szCs w:val="24"/>
        </w:rPr>
      </w:pPr>
    </w:p>
    <w:p w14:paraId="7C30FA2F" w14:textId="77777777" w:rsidR="00C1069A" w:rsidRPr="00FE5BB8" w:rsidRDefault="00C1069A" w:rsidP="00556AD2">
      <w:pPr>
        <w:spacing w:after="0" w:line="240" w:lineRule="auto"/>
        <w:rPr>
          <w:rFonts w:ascii="Arial" w:eastAsia="Calibri" w:hAnsi="Arial" w:cs="Times New Roman"/>
          <w:sz w:val="24"/>
        </w:rPr>
      </w:pPr>
    </w:p>
    <w:p w14:paraId="7DFAEAC3" w14:textId="3357FA0A" w:rsidR="00C1069A" w:rsidRDefault="00C1069A" w:rsidP="001453A1">
      <w:pPr>
        <w:pStyle w:val="Heading1"/>
      </w:pPr>
      <w:r w:rsidRPr="00C1069A">
        <w:t>THANKS!</w:t>
      </w:r>
    </w:p>
    <w:p w14:paraId="1E0D2743" w14:textId="77777777" w:rsidR="00C1069A" w:rsidRPr="00C1069A" w:rsidRDefault="00C1069A" w:rsidP="00556AD2">
      <w:pPr>
        <w:spacing w:after="120" w:line="240" w:lineRule="auto"/>
        <w:rPr>
          <w:rFonts w:ascii="Arial" w:eastAsia="Calibri" w:hAnsi="Arial" w:cs="Arial"/>
          <w:bCs/>
          <w:sz w:val="24"/>
          <w:szCs w:val="24"/>
        </w:rPr>
      </w:pPr>
      <w:bookmarkStart w:id="1" w:name="_GoBack"/>
      <w:bookmarkEnd w:id="1"/>
      <w:r w:rsidRPr="00C1069A">
        <w:rPr>
          <w:rFonts w:ascii="Arial" w:eastAsia="Calibri" w:hAnsi="Arial" w:cs="Arial"/>
          <w:b/>
          <w:bCs/>
          <w:sz w:val="24"/>
          <w:szCs w:val="24"/>
        </w:rPr>
        <w:t>We would like to thank all those who contributed to this and future editions of the OALM Newsletter.</w:t>
      </w:r>
    </w:p>
    <w:p w14:paraId="79A808E2" w14:textId="77777777" w:rsidR="00C1069A" w:rsidRPr="00C1069A" w:rsidRDefault="00C1069A" w:rsidP="00556AD2">
      <w:pPr>
        <w:spacing w:after="120" w:line="240" w:lineRule="auto"/>
        <w:rPr>
          <w:rFonts w:ascii="Arial" w:eastAsia="Calibri" w:hAnsi="Arial" w:cs="Arial"/>
          <w:sz w:val="24"/>
          <w:szCs w:val="24"/>
        </w:rPr>
      </w:pPr>
      <w:r w:rsidRPr="00C1069A">
        <w:rPr>
          <w:rFonts w:ascii="Arial" w:eastAsia="Calibri" w:hAnsi="Arial" w:cs="Arial"/>
          <w:sz w:val="24"/>
          <w:szCs w:val="24"/>
        </w:rPr>
        <w:t>The OALM Newsletter will be published four (4) times in calendar year 20</w:t>
      </w:r>
      <w:r w:rsidR="004667B5">
        <w:rPr>
          <w:rFonts w:ascii="Arial" w:eastAsia="Calibri" w:hAnsi="Arial" w:cs="Arial"/>
          <w:sz w:val="24"/>
          <w:szCs w:val="24"/>
        </w:rPr>
        <w:t>20</w:t>
      </w:r>
      <w:r w:rsidRPr="00C1069A">
        <w:rPr>
          <w:rFonts w:ascii="Arial" w:eastAsia="Calibri" w:hAnsi="Arial" w:cs="Arial"/>
          <w:sz w:val="24"/>
          <w:szCs w:val="24"/>
        </w:rPr>
        <w:t>. We encourage staff to submit articles that would be of interest to our readers. We will do our best to include such articles in future editions of the OALM Newsletter.</w:t>
      </w:r>
    </w:p>
    <w:p w14:paraId="3E69B43F" w14:textId="31B2A074" w:rsidR="00C1069A" w:rsidRPr="00C1069A" w:rsidRDefault="00C1069A" w:rsidP="00556AD2">
      <w:pPr>
        <w:spacing w:after="120" w:line="240" w:lineRule="auto"/>
        <w:rPr>
          <w:rFonts w:ascii="Arial" w:eastAsia="Calibri" w:hAnsi="Arial" w:cs="Arial"/>
          <w:color w:val="0000FF"/>
          <w:position w:val="-1"/>
          <w:sz w:val="24"/>
          <w:szCs w:val="24"/>
        </w:rPr>
      </w:pPr>
      <w:r w:rsidRPr="00C1069A">
        <w:rPr>
          <w:rFonts w:ascii="Arial" w:eastAsia="Calibri" w:hAnsi="Arial" w:cs="Arial"/>
          <w:sz w:val="24"/>
          <w:szCs w:val="24"/>
        </w:rPr>
        <w:t>P</w:t>
      </w:r>
      <w:r w:rsidRPr="00C1069A">
        <w:rPr>
          <w:rFonts w:ascii="Arial" w:eastAsia="Calibri" w:hAnsi="Arial" w:cs="Arial"/>
          <w:spacing w:val="-1"/>
          <w:sz w:val="24"/>
          <w:szCs w:val="24"/>
        </w:rPr>
        <w:t>l</w:t>
      </w:r>
      <w:r w:rsidRPr="00C1069A">
        <w:rPr>
          <w:rFonts w:ascii="Arial" w:eastAsia="Calibri" w:hAnsi="Arial" w:cs="Arial"/>
          <w:sz w:val="24"/>
          <w:szCs w:val="24"/>
        </w:rPr>
        <w:t>ease</w:t>
      </w:r>
      <w:r w:rsidRPr="00C1069A">
        <w:rPr>
          <w:rFonts w:ascii="Arial" w:eastAsia="Calibri" w:hAnsi="Arial" w:cs="Arial"/>
          <w:spacing w:val="-1"/>
          <w:sz w:val="24"/>
          <w:szCs w:val="24"/>
        </w:rPr>
        <w:t xml:space="preserve"> </w:t>
      </w:r>
      <w:r w:rsidRPr="00C1069A">
        <w:rPr>
          <w:rFonts w:ascii="Arial" w:eastAsia="Calibri" w:hAnsi="Arial" w:cs="Arial"/>
          <w:sz w:val="24"/>
          <w:szCs w:val="24"/>
        </w:rPr>
        <w:t>a</w:t>
      </w:r>
      <w:r w:rsidRPr="00C1069A">
        <w:rPr>
          <w:rFonts w:ascii="Arial" w:eastAsia="Calibri" w:hAnsi="Arial" w:cs="Arial"/>
          <w:spacing w:val="-2"/>
          <w:sz w:val="24"/>
          <w:szCs w:val="24"/>
        </w:rPr>
        <w:t>d</w:t>
      </w:r>
      <w:r w:rsidRPr="00C1069A">
        <w:rPr>
          <w:rFonts w:ascii="Arial" w:eastAsia="Calibri" w:hAnsi="Arial" w:cs="Arial"/>
          <w:sz w:val="24"/>
          <w:szCs w:val="24"/>
        </w:rPr>
        <w:t>d</w:t>
      </w:r>
      <w:r w:rsidRPr="00C1069A">
        <w:rPr>
          <w:rFonts w:ascii="Arial" w:eastAsia="Calibri" w:hAnsi="Arial" w:cs="Arial"/>
          <w:spacing w:val="-1"/>
          <w:sz w:val="24"/>
          <w:szCs w:val="24"/>
        </w:rPr>
        <w:t>r</w:t>
      </w:r>
      <w:r w:rsidRPr="00C1069A">
        <w:rPr>
          <w:rFonts w:ascii="Arial" w:eastAsia="Calibri" w:hAnsi="Arial" w:cs="Arial"/>
          <w:sz w:val="24"/>
          <w:szCs w:val="24"/>
        </w:rPr>
        <w:t>ess a</w:t>
      </w:r>
      <w:r w:rsidRPr="00C1069A">
        <w:rPr>
          <w:rFonts w:ascii="Arial" w:eastAsia="Calibri" w:hAnsi="Arial" w:cs="Arial"/>
          <w:spacing w:val="-1"/>
          <w:sz w:val="24"/>
          <w:szCs w:val="24"/>
        </w:rPr>
        <w:t>l</w:t>
      </w:r>
      <w:r w:rsidRPr="00C1069A">
        <w:rPr>
          <w:rFonts w:ascii="Arial" w:eastAsia="Calibri" w:hAnsi="Arial" w:cs="Arial"/>
          <w:sz w:val="24"/>
          <w:szCs w:val="24"/>
        </w:rPr>
        <w:t>l co</w:t>
      </w:r>
      <w:r w:rsidRPr="00C1069A">
        <w:rPr>
          <w:rFonts w:ascii="Arial" w:eastAsia="Calibri" w:hAnsi="Arial" w:cs="Arial"/>
          <w:spacing w:val="-1"/>
          <w:sz w:val="24"/>
          <w:szCs w:val="24"/>
        </w:rPr>
        <w:t>r</w:t>
      </w:r>
      <w:r w:rsidRPr="00C1069A">
        <w:rPr>
          <w:rFonts w:ascii="Arial" w:eastAsia="Calibri" w:hAnsi="Arial" w:cs="Arial"/>
          <w:spacing w:val="-3"/>
          <w:sz w:val="24"/>
          <w:szCs w:val="24"/>
        </w:rPr>
        <w:t>r</w:t>
      </w:r>
      <w:r w:rsidRPr="00C1069A">
        <w:rPr>
          <w:rFonts w:ascii="Arial" w:eastAsia="Calibri" w:hAnsi="Arial" w:cs="Arial"/>
          <w:sz w:val="24"/>
          <w:szCs w:val="24"/>
        </w:rPr>
        <w:t>esp</w:t>
      </w:r>
      <w:r w:rsidRPr="00C1069A">
        <w:rPr>
          <w:rFonts w:ascii="Arial" w:eastAsia="Calibri" w:hAnsi="Arial" w:cs="Arial"/>
          <w:spacing w:val="-2"/>
          <w:sz w:val="24"/>
          <w:szCs w:val="24"/>
        </w:rPr>
        <w:t>o</w:t>
      </w:r>
      <w:r w:rsidRPr="00C1069A">
        <w:rPr>
          <w:rFonts w:ascii="Arial" w:eastAsia="Calibri" w:hAnsi="Arial" w:cs="Arial"/>
          <w:sz w:val="24"/>
          <w:szCs w:val="24"/>
        </w:rPr>
        <w:t>nd</w:t>
      </w:r>
      <w:r w:rsidRPr="00C1069A">
        <w:rPr>
          <w:rFonts w:ascii="Arial" w:eastAsia="Calibri" w:hAnsi="Arial" w:cs="Arial"/>
          <w:spacing w:val="-2"/>
          <w:sz w:val="24"/>
          <w:szCs w:val="24"/>
        </w:rPr>
        <w:t>e</w:t>
      </w:r>
      <w:r w:rsidRPr="00C1069A">
        <w:rPr>
          <w:rFonts w:ascii="Arial" w:eastAsia="Calibri" w:hAnsi="Arial" w:cs="Arial"/>
          <w:sz w:val="24"/>
          <w:szCs w:val="24"/>
        </w:rPr>
        <w:t>nce</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t</w:t>
      </w:r>
      <w:r w:rsidRPr="00C1069A">
        <w:rPr>
          <w:rFonts w:ascii="Arial" w:eastAsia="Calibri" w:hAnsi="Arial" w:cs="Arial"/>
          <w:sz w:val="24"/>
          <w:szCs w:val="24"/>
        </w:rPr>
        <w:t>o</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t</w:t>
      </w:r>
      <w:r w:rsidRPr="00C1069A">
        <w:rPr>
          <w:rFonts w:ascii="Arial" w:eastAsia="Calibri" w:hAnsi="Arial" w:cs="Arial"/>
          <w:sz w:val="24"/>
          <w:szCs w:val="24"/>
        </w:rPr>
        <w:t>he</w:t>
      </w:r>
      <w:r w:rsidRPr="00C1069A">
        <w:rPr>
          <w:rFonts w:ascii="Arial" w:eastAsia="Calibri" w:hAnsi="Arial" w:cs="Arial"/>
          <w:spacing w:val="-1"/>
          <w:sz w:val="24"/>
          <w:szCs w:val="24"/>
        </w:rPr>
        <w:t xml:space="preserve"> </w:t>
      </w:r>
      <w:r w:rsidRPr="00C1069A">
        <w:rPr>
          <w:rFonts w:ascii="Arial" w:eastAsia="Calibri" w:hAnsi="Arial" w:cs="Arial"/>
          <w:sz w:val="24"/>
          <w:szCs w:val="24"/>
        </w:rPr>
        <w:t>ed</w:t>
      </w:r>
      <w:r w:rsidRPr="00C1069A">
        <w:rPr>
          <w:rFonts w:ascii="Arial" w:eastAsia="Calibri" w:hAnsi="Arial" w:cs="Arial"/>
          <w:spacing w:val="-1"/>
          <w:sz w:val="24"/>
          <w:szCs w:val="24"/>
        </w:rPr>
        <w:t>i</w:t>
      </w:r>
      <w:r w:rsidRPr="00C1069A">
        <w:rPr>
          <w:rFonts w:ascii="Arial" w:eastAsia="Calibri" w:hAnsi="Arial" w:cs="Arial"/>
          <w:spacing w:val="-2"/>
          <w:sz w:val="24"/>
          <w:szCs w:val="24"/>
        </w:rPr>
        <w:t>t</w:t>
      </w:r>
      <w:r w:rsidRPr="00C1069A">
        <w:rPr>
          <w:rFonts w:ascii="Arial" w:eastAsia="Calibri" w:hAnsi="Arial" w:cs="Arial"/>
          <w:sz w:val="24"/>
          <w:szCs w:val="24"/>
        </w:rPr>
        <w:t>o</w:t>
      </w:r>
      <w:r w:rsidRPr="00C1069A">
        <w:rPr>
          <w:rFonts w:ascii="Arial" w:eastAsia="Calibri" w:hAnsi="Arial" w:cs="Arial"/>
          <w:spacing w:val="-1"/>
          <w:sz w:val="24"/>
          <w:szCs w:val="24"/>
        </w:rPr>
        <w:t>r</w:t>
      </w:r>
      <w:r w:rsidRPr="00C1069A">
        <w:rPr>
          <w:rFonts w:ascii="Arial" w:eastAsia="Calibri" w:hAnsi="Arial" w:cs="Arial"/>
          <w:sz w:val="24"/>
          <w:szCs w:val="24"/>
        </w:rPr>
        <w:t xml:space="preserve">s: </w:t>
      </w:r>
      <w:r w:rsidRPr="00C1069A">
        <w:rPr>
          <w:rFonts w:ascii="Arial" w:eastAsia="Calibri" w:hAnsi="Arial" w:cs="Arial"/>
          <w:spacing w:val="-1"/>
          <w:sz w:val="24"/>
          <w:szCs w:val="24"/>
        </w:rPr>
        <w:t>Mil</w:t>
      </w:r>
      <w:r w:rsidRPr="00C1069A">
        <w:rPr>
          <w:rFonts w:ascii="Arial" w:eastAsia="Calibri" w:hAnsi="Arial" w:cs="Arial"/>
          <w:sz w:val="24"/>
          <w:szCs w:val="24"/>
        </w:rPr>
        <w:t xml:space="preserve">ton Nicholas, </w:t>
      </w:r>
      <w:hyperlink r:id="rId42" w:tooltip="NicholaM@od.nih.gov" w:history="1">
        <w:r w:rsidRPr="00C1069A">
          <w:rPr>
            <w:rFonts w:ascii="Arial" w:eastAsia="Calibri" w:hAnsi="Arial" w:cs="Arial"/>
            <w:color w:val="0563C1"/>
            <w:spacing w:val="-1"/>
            <w:sz w:val="24"/>
            <w:szCs w:val="24"/>
            <w:u w:val="single" w:color="0000FF"/>
          </w:rPr>
          <w:t>Ni</w:t>
        </w:r>
        <w:r w:rsidRPr="00C1069A">
          <w:rPr>
            <w:rFonts w:ascii="Arial" w:eastAsia="Calibri" w:hAnsi="Arial" w:cs="Arial"/>
            <w:color w:val="0563C1"/>
            <w:sz w:val="24"/>
            <w:szCs w:val="24"/>
            <w:u w:val="single" w:color="0000FF"/>
          </w:rPr>
          <w:t>cho</w:t>
        </w:r>
        <w:r w:rsidRPr="00C1069A">
          <w:rPr>
            <w:rFonts w:ascii="Arial" w:eastAsia="Calibri" w:hAnsi="Arial" w:cs="Arial"/>
            <w:color w:val="0563C1"/>
            <w:spacing w:val="-1"/>
            <w:sz w:val="24"/>
            <w:szCs w:val="24"/>
            <w:u w:val="single" w:color="0000FF"/>
          </w:rPr>
          <w:t>l</w:t>
        </w:r>
        <w:r w:rsidRPr="00C1069A">
          <w:rPr>
            <w:rFonts w:ascii="Arial" w:eastAsia="Calibri" w:hAnsi="Arial" w:cs="Arial"/>
            <w:color w:val="0563C1"/>
            <w:sz w:val="24"/>
            <w:szCs w:val="24"/>
            <w:u w:val="single" w:color="0000FF"/>
          </w:rPr>
          <w:t>a</w:t>
        </w:r>
        <w:r w:rsidRPr="00C1069A">
          <w:rPr>
            <w:rFonts w:ascii="Arial" w:eastAsia="Calibri" w:hAnsi="Arial" w:cs="Arial"/>
            <w:color w:val="0563C1"/>
            <w:spacing w:val="-1"/>
            <w:sz w:val="24"/>
            <w:szCs w:val="24"/>
            <w:u w:val="single" w:color="0000FF"/>
          </w:rPr>
          <w:t>M</w:t>
        </w:r>
        <w:r w:rsidRPr="00C1069A">
          <w:rPr>
            <w:rFonts w:ascii="Arial" w:eastAsia="Calibri" w:hAnsi="Arial" w:cs="Arial"/>
            <w:color w:val="0563C1"/>
            <w:sz w:val="24"/>
            <w:szCs w:val="24"/>
            <w:u w:val="single" w:color="0000FF"/>
          </w:rPr>
          <w:t>@</w:t>
        </w:r>
        <w:r w:rsidRPr="00C1069A">
          <w:rPr>
            <w:rFonts w:ascii="Arial" w:eastAsia="Calibri" w:hAnsi="Arial" w:cs="Arial"/>
            <w:color w:val="0563C1"/>
            <w:spacing w:val="-1"/>
            <w:sz w:val="24"/>
            <w:szCs w:val="24"/>
            <w:u w:val="single" w:color="0000FF"/>
          </w:rPr>
          <w:t>o</w:t>
        </w:r>
        <w:r w:rsidRPr="00C1069A">
          <w:rPr>
            <w:rFonts w:ascii="Arial" w:eastAsia="Calibri" w:hAnsi="Arial" w:cs="Arial"/>
            <w:color w:val="0563C1"/>
            <w:sz w:val="24"/>
            <w:szCs w:val="24"/>
            <w:u w:val="single" w:color="0000FF"/>
          </w:rPr>
          <w:t>d.n</w:t>
        </w:r>
        <w:r w:rsidRPr="00C1069A">
          <w:rPr>
            <w:rFonts w:ascii="Arial" w:eastAsia="Calibri" w:hAnsi="Arial" w:cs="Arial"/>
            <w:color w:val="0563C1"/>
            <w:spacing w:val="-1"/>
            <w:sz w:val="24"/>
            <w:szCs w:val="24"/>
            <w:u w:val="single" w:color="0000FF"/>
          </w:rPr>
          <w:t>i</w:t>
        </w:r>
        <w:r w:rsidRPr="00C1069A">
          <w:rPr>
            <w:rFonts w:ascii="Arial" w:eastAsia="Calibri" w:hAnsi="Arial" w:cs="Arial"/>
            <w:color w:val="0563C1"/>
            <w:sz w:val="24"/>
            <w:szCs w:val="24"/>
            <w:u w:val="single" w:color="0000FF"/>
          </w:rPr>
          <w:t>h.</w:t>
        </w:r>
        <w:r w:rsidRPr="00C1069A">
          <w:rPr>
            <w:rFonts w:ascii="Arial" w:eastAsia="Calibri" w:hAnsi="Arial" w:cs="Arial"/>
            <w:color w:val="0563C1"/>
            <w:spacing w:val="-1"/>
            <w:sz w:val="24"/>
            <w:szCs w:val="24"/>
            <w:u w:val="single" w:color="0000FF"/>
          </w:rPr>
          <w:t>g</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v</w:t>
        </w:r>
      </w:hyperlink>
      <w:r w:rsidRPr="00C1069A">
        <w:rPr>
          <w:rFonts w:ascii="Arial" w:eastAsia="Calibri" w:hAnsi="Arial" w:cs="Arial"/>
          <w:color w:val="000000"/>
          <w:sz w:val="24"/>
          <w:szCs w:val="24"/>
        </w:rPr>
        <w:t xml:space="preserve">, </w:t>
      </w:r>
      <w:r w:rsidR="002743A6">
        <w:rPr>
          <w:rFonts w:ascii="Arial" w:eastAsia="Calibri" w:hAnsi="Arial" w:cs="Arial"/>
          <w:color w:val="000000"/>
          <w:sz w:val="24"/>
          <w:szCs w:val="24"/>
        </w:rPr>
        <w:t xml:space="preserve">Michele </w:t>
      </w:r>
      <w:r w:rsidRPr="00C1069A">
        <w:rPr>
          <w:rFonts w:ascii="Arial" w:eastAsia="Calibri" w:hAnsi="Arial" w:cs="Arial"/>
          <w:spacing w:val="-1"/>
          <w:sz w:val="24"/>
          <w:szCs w:val="24"/>
        </w:rPr>
        <w:t>M</w:t>
      </w:r>
      <w:r w:rsidRPr="00C1069A">
        <w:rPr>
          <w:rFonts w:ascii="Arial" w:eastAsia="Calibri" w:hAnsi="Arial" w:cs="Arial"/>
          <w:sz w:val="24"/>
          <w:szCs w:val="24"/>
        </w:rPr>
        <w:t>c</w:t>
      </w:r>
      <w:r w:rsidRPr="00C1069A">
        <w:rPr>
          <w:rFonts w:ascii="Arial" w:eastAsia="Calibri" w:hAnsi="Arial" w:cs="Arial"/>
          <w:spacing w:val="-1"/>
          <w:sz w:val="24"/>
          <w:szCs w:val="24"/>
        </w:rPr>
        <w:t>D</w:t>
      </w:r>
      <w:r w:rsidRPr="00C1069A">
        <w:rPr>
          <w:rFonts w:ascii="Arial" w:eastAsia="Calibri" w:hAnsi="Arial" w:cs="Arial"/>
          <w:sz w:val="24"/>
          <w:szCs w:val="24"/>
        </w:rPr>
        <w:t>e</w:t>
      </w:r>
      <w:r w:rsidRPr="00C1069A">
        <w:rPr>
          <w:rFonts w:ascii="Arial" w:eastAsia="Calibri" w:hAnsi="Arial" w:cs="Arial"/>
          <w:spacing w:val="-1"/>
          <w:sz w:val="24"/>
          <w:szCs w:val="24"/>
        </w:rPr>
        <w:t>r</w:t>
      </w:r>
      <w:r w:rsidRPr="00C1069A">
        <w:rPr>
          <w:rFonts w:ascii="Arial" w:eastAsia="Calibri" w:hAnsi="Arial" w:cs="Arial"/>
          <w:spacing w:val="2"/>
          <w:sz w:val="24"/>
          <w:szCs w:val="24"/>
        </w:rPr>
        <w:t>m</w:t>
      </w:r>
      <w:r w:rsidRPr="00C1069A">
        <w:rPr>
          <w:rFonts w:ascii="Arial" w:eastAsia="Calibri" w:hAnsi="Arial" w:cs="Arial"/>
          <w:sz w:val="24"/>
          <w:szCs w:val="24"/>
        </w:rPr>
        <w:t xml:space="preserve">ott, </w:t>
      </w:r>
      <w:hyperlink r:id="rId43" w:tooltip="McDermottMl@od.nih.gov" w:history="1">
        <w:r w:rsidRPr="00C1069A">
          <w:rPr>
            <w:rFonts w:ascii="Arial" w:eastAsia="Calibri" w:hAnsi="Arial" w:cs="Arial"/>
            <w:color w:val="0563C1"/>
            <w:spacing w:val="-1"/>
            <w:sz w:val="24"/>
            <w:szCs w:val="24"/>
            <w:u w:val="single" w:color="0000FF"/>
          </w:rPr>
          <w:t>M</w:t>
        </w:r>
        <w:r w:rsidRPr="00C1069A">
          <w:rPr>
            <w:rFonts w:ascii="Arial" w:eastAsia="Calibri" w:hAnsi="Arial" w:cs="Arial"/>
            <w:color w:val="0563C1"/>
            <w:sz w:val="24"/>
            <w:szCs w:val="24"/>
            <w:u w:val="single" w:color="0000FF"/>
          </w:rPr>
          <w:t>c</w:t>
        </w:r>
        <w:r w:rsidRPr="00C1069A">
          <w:rPr>
            <w:rFonts w:ascii="Arial" w:eastAsia="Calibri" w:hAnsi="Arial" w:cs="Arial"/>
            <w:color w:val="0563C1"/>
            <w:spacing w:val="-1"/>
            <w:sz w:val="24"/>
            <w:szCs w:val="24"/>
            <w:u w:val="single" w:color="0000FF"/>
          </w:rPr>
          <w:t>D</w:t>
        </w:r>
        <w:r w:rsidRPr="00C1069A">
          <w:rPr>
            <w:rFonts w:ascii="Arial" w:eastAsia="Calibri" w:hAnsi="Arial" w:cs="Arial"/>
            <w:color w:val="0563C1"/>
            <w:sz w:val="24"/>
            <w:szCs w:val="24"/>
            <w:u w:val="single" w:color="0000FF"/>
          </w:rPr>
          <w:t>e</w:t>
        </w:r>
        <w:r w:rsidRPr="00C1069A">
          <w:rPr>
            <w:rFonts w:ascii="Arial" w:eastAsia="Calibri" w:hAnsi="Arial" w:cs="Arial"/>
            <w:color w:val="0563C1"/>
            <w:spacing w:val="-1"/>
            <w:sz w:val="24"/>
            <w:szCs w:val="24"/>
            <w:u w:val="single" w:color="0000FF"/>
          </w:rPr>
          <w:t>r</w:t>
        </w:r>
        <w:r w:rsidRPr="00C1069A">
          <w:rPr>
            <w:rFonts w:ascii="Arial" w:eastAsia="Calibri" w:hAnsi="Arial" w:cs="Arial"/>
            <w:color w:val="0563C1"/>
            <w:spacing w:val="2"/>
            <w:sz w:val="24"/>
            <w:szCs w:val="24"/>
            <w:u w:val="single" w:color="0000FF"/>
          </w:rPr>
          <w:t>m</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t</w:t>
        </w:r>
        <w:r w:rsidRPr="00C1069A">
          <w:rPr>
            <w:rFonts w:ascii="Arial" w:eastAsia="Calibri" w:hAnsi="Arial" w:cs="Arial"/>
            <w:color w:val="0563C1"/>
            <w:sz w:val="24"/>
            <w:szCs w:val="24"/>
            <w:u w:val="single" w:color="0000FF"/>
          </w:rPr>
          <w:t>t</w:t>
        </w:r>
        <w:r w:rsidRPr="00C1069A">
          <w:rPr>
            <w:rFonts w:ascii="Arial" w:eastAsia="Calibri" w:hAnsi="Arial" w:cs="Arial"/>
            <w:color w:val="0563C1"/>
            <w:spacing w:val="-1"/>
            <w:sz w:val="24"/>
            <w:szCs w:val="24"/>
            <w:u w:val="single" w:color="0000FF"/>
          </w:rPr>
          <w:t>Ml</w:t>
        </w:r>
        <w:r w:rsidRPr="00C1069A">
          <w:rPr>
            <w:rFonts w:ascii="Arial" w:eastAsia="Calibri" w:hAnsi="Arial" w:cs="Arial"/>
            <w:color w:val="0563C1"/>
            <w:sz w:val="24"/>
            <w:szCs w:val="24"/>
            <w:u w:val="single" w:color="0000FF"/>
          </w:rPr>
          <w:t>@od</w:t>
        </w:r>
        <w:r w:rsidRPr="00C1069A">
          <w:rPr>
            <w:rFonts w:ascii="Arial" w:eastAsia="Calibri" w:hAnsi="Arial" w:cs="Arial"/>
            <w:color w:val="0563C1"/>
            <w:spacing w:val="-2"/>
            <w:sz w:val="24"/>
            <w:szCs w:val="24"/>
            <w:u w:val="single" w:color="0000FF"/>
          </w:rPr>
          <w:t>.</w:t>
        </w:r>
        <w:r w:rsidRPr="00C1069A">
          <w:rPr>
            <w:rFonts w:ascii="Arial" w:eastAsia="Calibri" w:hAnsi="Arial" w:cs="Arial"/>
            <w:color w:val="0563C1"/>
            <w:sz w:val="24"/>
            <w:szCs w:val="24"/>
            <w:u w:val="single" w:color="0000FF"/>
          </w:rPr>
          <w:t>n</w:t>
        </w:r>
        <w:r w:rsidRPr="00C1069A">
          <w:rPr>
            <w:rFonts w:ascii="Arial" w:eastAsia="Calibri" w:hAnsi="Arial" w:cs="Arial"/>
            <w:color w:val="0563C1"/>
            <w:spacing w:val="-1"/>
            <w:sz w:val="24"/>
            <w:szCs w:val="24"/>
            <w:u w:val="single" w:color="0000FF"/>
          </w:rPr>
          <w:t>i</w:t>
        </w:r>
        <w:r w:rsidRPr="00C1069A">
          <w:rPr>
            <w:rFonts w:ascii="Arial" w:eastAsia="Calibri" w:hAnsi="Arial" w:cs="Arial"/>
            <w:color w:val="0563C1"/>
            <w:sz w:val="24"/>
            <w:szCs w:val="24"/>
            <w:u w:val="single" w:color="0000FF"/>
          </w:rPr>
          <w:t>h.</w:t>
        </w:r>
        <w:r w:rsidRPr="00C1069A">
          <w:rPr>
            <w:rFonts w:ascii="Arial" w:eastAsia="Calibri" w:hAnsi="Arial" w:cs="Arial"/>
            <w:color w:val="0563C1"/>
            <w:spacing w:val="-1"/>
            <w:sz w:val="24"/>
            <w:szCs w:val="24"/>
            <w:u w:val="single" w:color="0000FF"/>
          </w:rPr>
          <w:t>g</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v</w:t>
        </w:r>
      </w:hyperlink>
      <w:r w:rsidRPr="00C1069A">
        <w:rPr>
          <w:rFonts w:ascii="Arial" w:eastAsia="Calibri" w:hAnsi="Arial" w:cs="Arial"/>
          <w:sz w:val="24"/>
          <w:szCs w:val="24"/>
        </w:rPr>
        <w:t>, Jesse</w:t>
      </w:r>
      <w:r w:rsidRPr="00C1069A">
        <w:rPr>
          <w:rFonts w:ascii="Arial" w:eastAsia="Calibri" w:hAnsi="Arial" w:cs="Arial"/>
          <w:spacing w:val="-1"/>
          <w:sz w:val="24"/>
          <w:szCs w:val="24"/>
        </w:rPr>
        <w:t xml:space="preserve"> </w:t>
      </w:r>
      <w:r w:rsidRPr="00C1069A">
        <w:rPr>
          <w:rFonts w:ascii="Arial" w:eastAsia="Calibri" w:hAnsi="Arial" w:cs="Arial"/>
          <w:sz w:val="24"/>
          <w:szCs w:val="24"/>
        </w:rPr>
        <w:t>Lee</w:t>
      </w:r>
      <w:r w:rsidRPr="00C1069A">
        <w:rPr>
          <w:rFonts w:ascii="Arial" w:eastAsia="Calibri" w:hAnsi="Arial" w:cs="Arial"/>
          <w:spacing w:val="-1"/>
          <w:sz w:val="24"/>
          <w:szCs w:val="24"/>
        </w:rPr>
        <w:t>,</w:t>
      </w:r>
      <w:r w:rsidRPr="00C1069A">
        <w:rPr>
          <w:rFonts w:ascii="Arial" w:eastAsia="Calibri" w:hAnsi="Arial" w:cs="Arial"/>
          <w:sz w:val="24"/>
          <w:szCs w:val="24"/>
        </w:rPr>
        <w:t xml:space="preserve"> </w:t>
      </w:r>
      <w:hyperlink r:id="rId44" w:tooltip="Jesse.Lee2@nih.gov" w:history="1">
        <w:r w:rsidRPr="00C1069A">
          <w:rPr>
            <w:rFonts w:ascii="Arial" w:eastAsia="Calibri" w:hAnsi="Arial" w:cs="Arial"/>
            <w:color w:val="0563C1"/>
            <w:sz w:val="24"/>
            <w:szCs w:val="24"/>
            <w:u w:val="single"/>
          </w:rPr>
          <w:t>Jesse</w:t>
        </w:r>
        <w:r w:rsidRPr="00C1069A">
          <w:rPr>
            <w:rFonts w:ascii="Arial" w:eastAsia="Calibri" w:hAnsi="Arial" w:cs="Arial"/>
            <w:color w:val="0563C1"/>
            <w:spacing w:val="-2"/>
            <w:sz w:val="24"/>
            <w:szCs w:val="24"/>
            <w:u w:val="single"/>
          </w:rPr>
          <w:t>.</w:t>
        </w:r>
        <w:r w:rsidRPr="00C1069A">
          <w:rPr>
            <w:rFonts w:ascii="Arial" w:eastAsia="Calibri" w:hAnsi="Arial" w:cs="Arial"/>
            <w:color w:val="0563C1"/>
            <w:sz w:val="24"/>
            <w:szCs w:val="24"/>
            <w:u w:val="single"/>
          </w:rPr>
          <w:t>Le</w:t>
        </w:r>
        <w:r w:rsidRPr="00C1069A">
          <w:rPr>
            <w:rFonts w:ascii="Arial" w:eastAsia="Calibri" w:hAnsi="Arial" w:cs="Arial"/>
            <w:color w:val="0563C1"/>
            <w:spacing w:val="-2"/>
            <w:sz w:val="24"/>
            <w:szCs w:val="24"/>
            <w:u w:val="single"/>
          </w:rPr>
          <w:t>e</w:t>
        </w:r>
        <w:r w:rsidRPr="00C1069A">
          <w:rPr>
            <w:rFonts w:ascii="Arial" w:eastAsia="Calibri" w:hAnsi="Arial" w:cs="Arial"/>
            <w:color w:val="0563C1"/>
            <w:sz w:val="24"/>
            <w:szCs w:val="24"/>
            <w:u w:val="single"/>
          </w:rPr>
          <w:t>2</w:t>
        </w:r>
        <w:r w:rsidRPr="00C1069A">
          <w:rPr>
            <w:rFonts w:ascii="Arial" w:eastAsia="Calibri" w:hAnsi="Arial" w:cs="Arial"/>
            <w:color w:val="0563C1"/>
            <w:spacing w:val="-1"/>
            <w:sz w:val="24"/>
            <w:szCs w:val="24"/>
            <w:u w:val="single"/>
          </w:rPr>
          <w:t>@ni</w:t>
        </w:r>
        <w:r w:rsidRPr="00C1069A">
          <w:rPr>
            <w:rFonts w:ascii="Arial" w:eastAsia="Calibri" w:hAnsi="Arial" w:cs="Arial"/>
            <w:color w:val="0563C1"/>
            <w:sz w:val="24"/>
            <w:szCs w:val="24"/>
            <w:u w:val="single"/>
          </w:rPr>
          <w:t>h.</w:t>
        </w:r>
        <w:r w:rsidRPr="00C1069A">
          <w:rPr>
            <w:rFonts w:ascii="Arial" w:eastAsia="Calibri" w:hAnsi="Arial" w:cs="Arial"/>
            <w:color w:val="0563C1"/>
            <w:spacing w:val="-1"/>
            <w:sz w:val="24"/>
            <w:szCs w:val="24"/>
            <w:u w:val="single"/>
          </w:rPr>
          <w:t>g</w:t>
        </w:r>
        <w:r w:rsidRPr="00C1069A">
          <w:rPr>
            <w:rFonts w:ascii="Arial" w:eastAsia="Calibri" w:hAnsi="Arial" w:cs="Arial"/>
            <w:color w:val="0563C1"/>
            <w:sz w:val="24"/>
            <w:szCs w:val="24"/>
            <w:u w:val="single"/>
          </w:rPr>
          <w:t>o</w:t>
        </w:r>
        <w:r w:rsidRPr="00C1069A">
          <w:rPr>
            <w:rFonts w:ascii="Arial" w:eastAsia="Calibri" w:hAnsi="Arial" w:cs="Arial"/>
            <w:color w:val="0563C1"/>
            <w:spacing w:val="-2"/>
            <w:sz w:val="24"/>
            <w:szCs w:val="24"/>
            <w:u w:val="single"/>
          </w:rPr>
          <w:t>v</w:t>
        </w:r>
      </w:hyperlink>
      <w:hyperlink r:id="rId45" w:history="1">
        <w:r w:rsidRPr="00C1069A">
          <w:rPr>
            <w:rFonts w:ascii="Arial" w:eastAsia="Calibri" w:hAnsi="Arial" w:cs="Arial"/>
            <w:color w:val="000000"/>
            <w:sz w:val="24"/>
            <w:szCs w:val="24"/>
          </w:rPr>
          <w:t>, or Ba</w:t>
        </w:r>
        <w:r w:rsidRPr="00C1069A">
          <w:rPr>
            <w:rFonts w:ascii="Arial" w:eastAsia="Calibri" w:hAnsi="Arial" w:cs="Arial"/>
            <w:color w:val="000000"/>
            <w:spacing w:val="-1"/>
            <w:sz w:val="24"/>
            <w:szCs w:val="24"/>
          </w:rPr>
          <w:t>rry</w:t>
        </w:r>
      </w:hyperlink>
      <w:r w:rsidRPr="00C1069A">
        <w:rPr>
          <w:rFonts w:ascii="Arial" w:eastAsia="Calibri" w:hAnsi="Arial" w:cs="Arial"/>
          <w:color w:val="000000"/>
          <w:spacing w:val="-1"/>
          <w:sz w:val="24"/>
          <w:szCs w:val="24"/>
        </w:rPr>
        <w:t xml:space="preserve"> </w:t>
      </w:r>
      <w:r w:rsidRPr="00C1069A">
        <w:rPr>
          <w:rFonts w:ascii="Arial" w:eastAsia="Calibri" w:hAnsi="Arial" w:cs="Arial"/>
          <w:color w:val="000000"/>
          <w:position w:val="-1"/>
          <w:sz w:val="24"/>
          <w:szCs w:val="24"/>
        </w:rPr>
        <w:t>So</w:t>
      </w:r>
      <w:r w:rsidRPr="00C1069A">
        <w:rPr>
          <w:rFonts w:ascii="Arial" w:eastAsia="Calibri" w:hAnsi="Arial" w:cs="Arial"/>
          <w:spacing w:val="-1"/>
          <w:position w:val="-1"/>
          <w:sz w:val="24"/>
          <w:szCs w:val="24"/>
        </w:rPr>
        <w:t>lo</w:t>
      </w:r>
      <w:r w:rsidRPr="00C1069A">
        <w:rPr>
          <w:rFonts w:ascii="Arial" w:eastAsia="Calibri" w:hAnsi="Arial" w:cs="Arial"/>
          <w:spacing w:val="2"/>
          <w:position w:val="-1"/>
          <w:sz w:val="24"/>
          <w:szCs w:val="24"/>
        </w:rPr>
        <w:t>m</w:t>
      </w:r>
      <w:r w:rsidRPr="00C1069A">
        <w:rPr>
          <w:rFonts w:ascii="Arial" w:eastAsia="Calibri" w:hAnsi="Arial" w:cs="Arial"/>
          <w:position w:val="-1"/>
          <w:sz w:val="24"/>
          <w:szCs w:val="24"/>
        </w:rPr>
        <w:t>o</w:t>
      </w:r>
      <w:r w:rsidRPr="00C1069A">
        <w:rPr>
          <w:rFonts w:ascii="Arial" w:eastAsia="Calibri" w:hAnsi="Arial" w:cs="Arial"/>
          <w:spacing w:val="-1"/>
          <w:position w:val="-1"/>
          <w:sz w:val="24"/>
          <w:szCs w:val="24"/>
        </w:rPr>
        <w:t>n</w:t>
      </w:r>
      <w:r w:rsidRPr="00C1069A">
        <w:rPr>
          <w:rFonts w:ascii="Arial" w:eastAsia="Calibri" w:hAnsi="Arial" w:cs="Arial"/>
          <w:position w:val="-1"/>
          <w:sz w:val="24"/>
          <w:szCs w:val="24"/>
        </w:rPr>
        <w:t xml:space="preserve">, </w:t>
      </w:r>
      <w:hyperlink r:id="rId46" w:tooltip="SolomonBJ@od.nih.gov" w:history="1">
        <w:r w:rsidRPr="00C1069A">
          <w:rPr>
            <w:rFonts w:ascii="Arial" w:eastAsia="Calibri" w:hAnsi="Arial" w:cs="Times New Roman"/>
            <w:color w:val="0563C1"/>
            <w:sz w:val="24"/>
            <w:u w:val="single"/>
          </w:rPr>
          <w:t>SolomonBJ@od.nih.gov</w:t>
        </w:r>
      </w:hyperlink>
      <w:r w:rsidRPr="00C1069A">
        <w:rPr>
          <w:rFonts w:ascii="Arial" w:eastAsia="Calibri" w:hAnsi="Arial" w:cs="Arial"/>
          <w:color w:val="0000FF"/>
          <w:position w:val="-1"/>
          <w:sz w:val="24"/>
          <w:szCs w:val="24"/>
        </w:rPr>
        <w:t>.</w:t>
      </w:r>
    </w:p>
    <w:p w14:paraId="7834AF52" w14:textId="7C5CA807" w:rsidR="00285777" w:rsidRDefault="00C1069A" w:rsidP="00556AD2">
      <w:pPr>
        <w:spacing w:line="240" w:lineRule="auto"/>
        <w:rPr>
          <w:sz w:val="40"/>
          <w:szCs w:val="40"/>
        </w:rPr>
      </w:pPr>
      <w:r w:rsidRPr="00C1069A">
        <w:rPr>
          <w:rFonts w:ascii="Arial" w:eastAsia="Calibri" w:hAnsi="Arial" w:cs="Arial"/>
          <w:sz w:val="24"/>
          <w:szCs w:val="24"/>
        </w:rPr>
        <w:t xml:space="preserve">If </w:t>
      </w:r>
      <w:r w:rsidRPr="00C1069A">
        <w:rPr>
          <w:rFonts w:ascii="Arial" w:eastAsia="Calibri" w:hAnsi="Arial" w:cs="Arial"/>
          <w:spacing w:val="-2"/>
          <w:sz w:val="24"/>
          <w:szCs w:val="24"/>
        </w:rPr>
        <w:t>y</w:t>
      </w:r>
      <w:r w:rsidRPr="00C1069A">
        <w:rPr>
          <w:rFonts w:ascii="Arial" w:eastAsia="Calibri" w:hAnsi="Arial" w:cs="Arial"/>
          <w:sz w:val="24"/>
          <w:szCs w:val="24"/>
        </w:rPr>
        <w:t>ou</w:t>
      </w:r>
      <w:r w:rsidRPr="00C1069A">
        <w:rPr>
          <w:rFonts w:ascii="Arial" w:eastAsia="Calibri" w:hAnsi="Arial" w:cs="Arial"/>
          <w:spacing w:val="2"/>
          <w:sz w:val="24"/>
          <w:szCs w:val="24"/>
        </w:rPr>
        <w:t xml:space="preserve"> </w:t>
      </w:r>
      <w:r w:rsidRPr="00C1069A">
        <w:rPr>
          <w:rFonts w:ascii="Arial" w:eastAsia="Calibri" w:hAnsi="Arial" w:cs="Arial"/>
          <w:sz w:val="24"/>
          <w:szCs w:val="24"/>
        </w:rPr>
        <w:t>ha</w:t>
      </w:r>
      <w:r w:rsidRPr="00C1069A">
        <w:rPr>
          <w:rFonts w:ascii="Arial" w:eastAsia="Calibri" w:hAnsi="Arial" w:cs="Arial"/>
          <w:spacing w:val="-2"/>
          <w:sz w:val="24"/>
          <w:szCs w:val="24"/>
        </w:rPr>
        <w:t>v</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a</w:t>
      </w:r>
      <w:r w:rsidRPr="00C1069A">
        <w:rPr>
          <w:rFonts w:ascii="Arial" w:eastAsia="Calibri" w:hAnsi="Arial" w:cs="Arial"/>
          <w:sz w:val="24"/>
          <w:szCs w:val="24"/>
        </w:rPr>
        <w:t>ny</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q</w:t>
      </w:r>
      <w:r w:rsidRPr="00C1069A">
        <w:rPr>
          <w:rFonts w:ascii="Arial" w:eastAsia="Calibri" w:hAnsi="Arial" w:cs="Arial"/>
          <w:sz w:val="24"/>
          <w:szCs w:val="24"/>
        </w:rPr>
        <w:t>uest</w:t>
      </w:r>
      <w:r w:rsidRPr="00C1069A">
        <w:rPr>
          <w:rFonts w:ascii="Arial" w:eastAsia="Calibri" w:hAnsi="Arial" w:cs="Arial"/>
          <w:spacing w:val="-1"/>
          <w:sz w:val="24"/>
          <w:szCs w:val="24"/>
        </w:rPr>
        <w:t>i</w:t>
      </w:r>
      <w:r w:rsidRPr="00C1069A">
        <w:rPr>
          <w:rFonts w:ascii="Arial" w:eastAsia="Calibri" w:hAnsi="Arial" w:cs="Arial"/>
          <w:sz w:val="24"/>
          <w:szCs w:val="24"/>
        </w:rPr>
        <w:t xml:space="preserve">ons or </w:t>
      </w:r>
      <w:r w:rsidRPr="00C1069A">
        <w:rPr>
          <w:rFonts w:ascii="Arial" w:eastAsia="Calibri" w:hAnsi="Arial" w:cs="Arial"/>
          <w:spacing w:val="-2"/>
          <w:sz w:val="24"/>
          <w:szCs w:val="24"/>
        </w:rPr>
        <w:t>c</w:t>
      </w:r>
      <w:r w:rsidRPr="00C1069A">
        <w:rPr>
          <w:rFonts w:ascii="Arial" w:eastAsia="Calibri" w:hAnsi="Arial" w:cs="Arial"/>
          <w:sz w:val="24"/>
          <w:szCs w:val="24"/>
        </w:rPr>
        <w:t>o</w:t>
      </w:r>
      <w:r w:rsidRPr="00C1069A">
        <w:rPr>
          <w:rFonts w:ascii="Arial" w:eastAsia="Calibri" w:hAnsi="Arial" w:cs="Arial"/>
          <w:spacing w:val="-1"/>
          <w:sz w:val="24"/>
          <w:szCs w:val="24"/>
        </w:rPr>
        <w:t>m</w:t>
      </w:r>
      <w:r w:rsidRPr="00C1069A">
        <w:rPr>
          <w:rFonts w:ascii="Arial" w:eastAsia="Calibri" w:hAnsi="Arial" w:cs="Arial"/>
          <w:spacing w:val="2"/>
          <w:sz w:val="24"/>
          <w:szCs w:val="24"/>
        </w:rPr>
        <w:t>m</w:t>
      </w:r>
      <w:r w:rsidRPr="00C1069A">
        <w:rPr>
          <w:rFonts w:ascii="Arial" w:eastAsia="Calibri" w:hAnsi="Arial" w:cs="Arial"/>
          <w:spacing w:val="-1"/>
          <w:sz w:val="24"/>
          <w:szCs w:val="24"/>
        </w:rPr>
        <w:t>e</w:t>
      </w:r>
      <w:r w:rsidRPr="00C1069A">
        <w:rPr>
          <w:rFonts w:ascii="Arial" w:eastAsia="Calibri" w:hAnsi="Arial" w:cs="Arial"/>
          <w:sz w:val="24"/>
          <w:szCs w:val="24"/>
        </w:rPr>
        <w:t xml:space="preserve">nts </w:t>
      </w:r>
      <w:r w:rsidRPr="00C1069A">
        <w:rPr>
          <w:rFonts w:ascii="Arial" w:eastAsia="Calibri" w:hAnsi="Arial" w:cs="Arial"/>
          <w:spacing w:val="-1"/>
          <w:sz w:val="24"/>
          <w:szCs w:val="24"/>
        </w:rPr>
        <w:t>r</w:t>
      </w:r>
      <w:r w:rsidRPr="00C1069A">
        <w:rPr>
          <w:rFonts w:ascii="Arial" w:eastAsia="Calibri" w:hAnsi="Arial" w:cs="Arial"/>
          <w:sz w:val="24"/>
          <w:szCs w:val="24"/>
        </w:rPr>
        <w:t>e</w:t>
      </w:r>
      <w:r w:rsidRPr="00C1069A">
        <w:rPr>
          <w:rFonts w:ascii="Arial" w:eastAsia="Calibri" w:hAnsi="Arial" w:cs="Arial"/>
          <w:spacing w:val="-2"/>
          <w:sz w:val="24"/>
          <w:szCs w:val="24"/>
        </w:rPr>
        <w:t>g</w:t>
      </w:r>
      <w:r w:rsidRPr="00C1069A">
        <w:rPr>
          <w:rFonts w:ascii="Arial" w:eastAsia="Calibri" w:hAnsi="Arial" w:cs="Arial"/>
          <w:spacing w:val="-1"/>
          <w:sz w:val="24"/>
          <w:szCs w:val="24"/>
        </w:rPr>
        <w:t>ar</w:t>
      </w:r>
      <w:r w:rsidRPr="00C1069A">
        <w:rPr>
          <w:rFonts w:ascii="Arial" w:eastAsia="Calibri" w:hAnsi="Arial" w:cs="Arial"/>
          <w:sz w:val="24"/>
          <w:szCs w:val="24"/>
        </w:rPr>
        <w:t>d</w:t>
      </w:r>
      <w:r w:rsidRPr="00C1069A">
        <w:rPr>
          <w:rFonts w:ascii="Arial" w:eastAsia="Calibri" w:hAnsi="Arial" w:cs="Arial"/>
          <w:spacing w:val="-1"/>
          <w:sz w:val="24"/>
          <w:szCs w:val="24"/>
        </w:rPr>
        <w:t>i</w:t>
      </w:r>
      <w:r w:rsidRPr="00C1069A">
        <w:rPr>
          <w:rFonts w:ascii="Arial" w:eastAsia="Calibri" w:hAnsi="Arial" w:cs="Arial"/>
          <w:sz w:val="24"/>
          <w:szCs w:val="24"/>
        </w:rPr>
        <w:t>ng</w:t>
      </w:r>
      <w:r w:rsidRPr="00C1069A">
        <w:rPr>
          <w:rFonts w:ascii="Arial" w:eastAsia="Calibri" w:hAnsi="Arial" w:cs="Arial"/>
          <w:spacing w:val="-1"/>
          <w:sz w:val="24"/>
          <w:szCs w:val="24"/>
        </w:rPr>
        <w:t xml:space="preserve"> </w:t>
      </w:r>
      <w:r w:rsidRPr="00C1069A">
        <w:rPr>
          <w:rFonts w:ascii="Arial" w:eastAsia="Calibri" w:hAnsi="Arial" w:cs="Arial"/>
          <w:sz w:val="24"/>
          <w:szCs w:val="24"/>
        </w:rPr>
        <w:t>the</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in</w:t>
      </w:r>
      <w:r w:rsidRPr="00C1069A">
        <w:rPr>
          <w:rFonts w:ascii="Arial" w:eastAsia="Calibri" w:hAnsi="Arial" w:cs="Arial"/>
          <w:sz w:val="24"/>
          <w:szCs w:val="24"/>
        </w:rPr>
        <w:t>fo</w:t>
      </w:r>
      <w:r w:rsidRPr="00C1069A">
        <w:rPr>
          <w:rFonts w:ascii="Arial" w:eastAsia="Calibri" w:hAnsi="Arial" w:cs="Arial"/>
          <w:spacing w:val="-1"/>
          <w:sz w:val="24"/>
          <w:szCs w:val="24"/>
        </w:rPr>
        <w:t>rm</w:t>
      </w:r>
      <w:r w:rsidRPr="00C1069A">
        <w:rPr>
          <w:rFonts w:ascii="Arial" w:eastAsia="Calibri" w:hAnsi="Arial" w:cs="Arial"/>
          <w:sz w:val="24"/>
          <w:szCs w:val="24"/>
        </w:rPr>
        <w:t>at</w:t>
      </w:r>
      <w:r w:rsidRPr="00C1069A">
        <w:rPr>
          <w:rFonts w:ascii="Arial" w:eastAsia="Calibri" w:hAnsi="Arial" w:cs="Arial"/>
          <w:spacing w:val="-1"/>
          <w:sz w:val="24"/>
          <w:szCs w:val="24"/>
        </w:rPr>
        <w:t>i</w:t>
      </w:r>
      <w:r w:rsidRPr="00C1069A">
        <w:rPr>
          <w:rFonts w:ascii="Arial" w:eastAsia="Calibri" w:hAnsi="Arial" w:cs="Arial"/>
          <w:sz w:val="24"/>
          <w:szCs w:val="24"/>
        </w:rPr>
        <w:t>o</w:t>
      </w:r>
      <w:r w:rsidRPr="00C1069A">
        <w:rPr>
          <w:rFonts w:ascii="Arial" w:eastAsia="Calibri" w:hAnsi="Arial" w:cs="Arial"/>
          <w:spacing w:val="-2"/>
          <w:sz w:val="24"/>
          <w:szCs w:val="24"/>
        </w:rPr>
        <w:t>n</w:t>
      </w:r>
      <w:r w:rsidRPr="00C1069A">
        <w:rPr>
          <w:rFonts w:ascii="Arial" w:eastAsia="Calibri" w:hAnsi="Arial" w:cs="Arial"/>
          <w:sz w:val="24"/>
          <w:szCs w:val="24"/>
        </w:rPr>
        <w:t xml:space="preserve">, </w:t>
      </w:r>
      <w:r w:rsidRPr="00C1069A">
        <w:rPr>
          <w:rFonts w:ascii="Arial" w:eastAsia="Calibri" w:hAnsi="Arial" w:cs="Arial"/>
          <w:spacing w:val="-1"/>
          <w:sz w:val="24"/>
          <w:szCs w:val="24"/>
        </w:rPr>
        <w:t>p</w:t>
      </w:r>
      <w:r w:rsidRPr="00C1069A">
        <w:rPr>
          <w:rFonts w:ascii="Arial" w:eastAsia="Calibri" w:hAnsi="Arial" w:cs="Arial"/>
          <w:sz w:val="24"/>
          <w:szCs w:val="24"/>
        </w:rPr>
        <w:t>o</w:t>
      </w:r>
      <w:r w:rsidRPr="00C1069A">
        <w:rPr>
          <w:rFonts w:ascii="Arial" w:eastAsia="Calibri" w:hAnsi="Arial" w:cs="Arial"/>
          <w:spacing w:val="-1"/>
          <w:sz w:val="24"/>
          <w:szCs w:val="24"/>
        </w:rPr>
        <w:t>li</w:t>
      </w:r>
      <w:r w:rsidRPr="00C1069A">
        <w:rPr>
          <w:rFonts w:ascii="Arial" w:eastAsia="Calibri" w:hAnsi="Arial" w:cs="Arial"/>
          <w:sz w:val="24"/>
          <w:szCs w:val="24"/>
        </w:rPr>
        <w:t>cy</w:t>
      </w:r>
      <w:r w:rsidRPr="00C1069A">
        <w:rPr>
          <w:rFonts w:ascii="Arial" w:eastAsia="Calibri" w:hAnsi="Arial" w:cs="Arial"/>
          <w:spacing w:val="-2"/>
          <w:sz w:val="24"/>
          <w:szCs w:val="24"/>
        </w:rPr>
        <w:t xml:space="preserve"> </w:t>
      </w:r>
      <w:r w:rsidRPr="00C1069A">
        <w:rPr>
          <w:rFonts w:ascii="Arial" w:eastAsia="Calibri" w:hAnsi="Arial" w:cs="Arial"/>
          <w:sz w:val="24"/>
          <w:szCs w:val="24"/>
        </w:rPr>
        <w:t>and/or p</w:t>
      </w:r>
      <w:r w:rsidRPr="00C1069A">
        <w:rPr>
          <w:rFonts w:ascii="Arial" w:eastAsia="Calibri" w:hAnsi="Arial" w:cs="Arial"/>
          <w:spacing w:val="-1"/>
          <w:sz w:val="24"/>
          <w:szCs w:val="24"/>
        </w:rPr>
        <w:t>r</w:t>
      </w:r>
      <w:r w:rsidRPr="00C1069A">
        <w:rPr>
          <w:rFonts w:ascii="Arial" w:eastAsia="Calibri" w:hAnsi="Arial" w:cs="Arial"/>
          <w:sz w:val="24"/>
          <w:szCs w:val="24"/>
        </w:rPr>
        <w:t>oce</w:t>
      </w:r>
      <w:r w:rsidRPr="00C1069A">
        <w:rPr>
          <w:rFonts w:ascii="Arial" w:eastAsia="Calibri" w:hAnsi="Arial" w:cs="Arial"/>
          <w:spacing w:val="-2"/>
          <w:sz w:val="24"/>
          <w:szCs w:val="24"/>
        </w:rPr>
        <w:t>d</w:t>
      </w:r>
      <w:r w:rsidRPr="00C1069A">
        <w:rPr>
          <w:rFonts w:ascii="Arial" w:eastAsia="Calibri" w:hAnsi="Arial" w:cs="Arial"/>
          <w:sz w:val="24"/>
          <w:szCs w:val="24"/>
        </w:rPr>
        <w:t>u</w:t>
      </w:r>
      <w:r w:rsidRPr="00C1069A">
        <w:rPr>
          <w:rFonts w:ascii="Arial" w:eastAsia="Calibri" w:hAnsi="Arial" w:cs="Arial"/>
          <w:spacing w:val="-1"/>
          <w:sz w:val="24"/>
          <w:szCs w:val="24"/>
        </w:rPr>
        <w:t>r</w:t>
      </w:r>
      <w:r w:rsidRPr="00C1069A">
        <w:rPr>
          <w:rFonts w:ascii="Arial" w:eastAsia="Calibri" w:hAnsi="Arial" w:cs="Arial"/>
          <w:sz w:val="24"/>
          <w:szCs w:val="24"/>
        </w:rPr>
        <w:t xml:space="preserve">es </w:t>
      </w:r>
      <w:r w:rsidRPr="00C1069A">
        <w:rPr>
          <w:rFonts w:ascii="Arial" w:eastAsia="Calibri" w:hAnsi="Arial" w:cs="Arial"/>
          <w:spacing w:val="-1"/>
          <w:sz w:val="24"/>
          <w:szCs w:val="24"/>
        </w:rPr>
        <w:t>p</w:t>
      </w:r>
      <w:r w:rsidRPr="00C1069A">
        <w:rPr>
          <w:rFonts w:ascii="Arial" w:eastAsia="Calibri" w:hAnsi="Arial" w:cs="Arial"/>
          <w:sz w:val="24"/>
          <w:szCs w:val="24"/>
        </w:rPr>
        <w:t>ub</w:t>
      </w:r>
      <w:r w:rsidRPr="00C1069A">
        <w:rPr>
          <w:rFonts w:ascii="Arial" w:eastAsia="Calibri" w:hAnsi="Arial" w:cs="Arial"/>
          <w:spacing w:val="-1"/>
          <w:sz w:val="24"/>
          <w:szCs w:val="24"/>
        </w:rPr>
        <w:t>li</w:t>
      </w:r>
      <w:r w:rsidRPr="00C1069A">
        <w:rPr>
          <w:rFonts w:ascii="Arial" w:eastAsia="Calibri" w:hAnsi="Arial" w:cs="Arial"/>
          <w:sz w:val="24"/>
          <w:szCs w:val="24"/>
        </w:rPr>
        <w:t>sh</w:t>
      </w:r>
      <w:r w:rsidRPr="00C1069A">
        <w:rPr>
          <w:rFonts w:ascii="Arial" w:eastAsia="Calibri" w:hAnsi="Arial" w:cs="Arial"/>
          <w:spacing w:val="-2"/>
          <w:sz w:val="24"/>
          <w:szCs w:val="24"/>
        </w:rPr>
        <w:t>e</w:t>
      </w:r>
      <w:r w:rsidRPr="00C1069A">
        <w:rPr>
          <w:rFonts w:ascii="Arial" w:eastAsia="Calibri" w:hAnsi="Arial" w:cs="Arial"/>
          <w:sz w:val="24"/>
          <w:szCs w:val="24"/>
        </w:rPr>
        <w:t>d</w:t>
      </w:r>
      <w:r w:rsidRPr="00C1069A">
        <w:rPr>
          <w:rFonts w:ascii="Arial" w:eastAsia="Calibri" w:hAnsi="Arial" w:cs="Arial"/>
          <w:spacing w:val="2"/>
          <w:sz w:val="24"/>
          <w:szCs w:val="24"/>
        </w:rPr>
        <w:t xml:space="preserve"> </w:t>
      </w:r>
      <w:r w:rsidRPr="00C1069A">
        <w:rPr>
          <w:rFonts w:ascii="Arial" w:eastAsia="Calibri" w:hAnsi="Arial" w:cs="Arial"/>
          <w:spacing w:val="-3"/>
          <w:sz w:val="24"/>
          <w:szCs w:val="24"/>
        </w:rPr>
        <w:t>i</w:t>
      </w:r>
      <w:r w:rsidRPr="00C1069A">
        <w:rPr>
          <w:rFonts w:ascii="Arial" w:eastAsia="Calibri" w:hAnsi="Arial" w:cs="Arial"/>
          <w:sz w:val="24"/>
          <w:szCs w:val="24"/>
        </w:rPr>
        <w:t>n</w:t>
      </w:r>
      <w:r w:rsidRPr="00C1069A">
        <w:rPr>
          <w:rFonts w:ascii="Arial" w:eastAsia="Calibri" w:hAnsi="Arial" w:cs="Arial"/>
          <w:spacing w:val="2"/>
          <w:sz w:val="24"/>
          <w:szCs w:val="24"/>
        </w:rPr>
        <w:t xml:space="preserve"> </w:t>
      </w:r>
      <w:r w:rsidRPr="00C1069A">
        <w:rPr>
          <w:rFonts w:ascii="Arial" w:eastAsia="Calibri" w:hAnsi="Arial" w:cs="Arial"/>
          <w:sz w:val="24"/>
          <w:szCs w:val="24"/>
        </w:rPr>
        <w:t>th</w:t>
      </w:r>
      <w:r w:rsidRPr="00C1069A">
        <w:rPr>
          <w:rFonts w:ascii="Arial" w:eastAsia="Calibri" w:hAnsi="Arial" w:cs="Arial"/>
          <w:spacing w:val="-1"/>
          <w:sz w:val="24"/>
          <w:szCs w:val="24"/>
        </w:rPr>
        <w:t>i</w:t>
      </w:r>
      <w:r w:rsidRPr="00C1069A">
        <w:rPr>
          <w:rFonts w:ascii="Arial" w:eastAsia="Calibri" w:hAnsi="Arial" w:cs="Arial"/>
          <w:sz w:val="24"/>
          <w:szCs w:val="24"/>
        </w:rPr>
        <w:t xml:space="preserve">s </w:t>
      </w:r>
      <w:r w:rsidRPr="00C1069A">
        <w:rPr>
          <w:rFonts w:ascii="Arial" w:eastAsia="Calibri" w:hAnsi="Arial" w:cs="Arial"/>
          <w:spacing w:val="-1"/>
          <w:sz w:val="24"/>
          <w:szCs w:val="24"/>
        </w:rPr>
        <w:t>i</w:t>
      </w:r>
      <w:r w:rsidRPr="00C1069A">
        <w:rPr>
          <w:rFonts w:ascii="Arial" w:eastAsia="Calibri" w:hAnsi="Arial" w:cs="Arial"/>
          <w:sz w:val="24"/>
          <w:szCs w:val="24"/>
        </w:rPr>
        <w:t>ss</w:t>
      </w:r>
      <w:r w:rsidRPr="00C1069A">
        <w:rPr>
          <w:rFonts w:ascii="Arial" w:eastAsia="Calibri" w:hAnsi="Arial" w:cs="Arial"/>
          <w:spacing w:val="-1"/>
          <w:sz w:val="24"/>
          <w:szCs w:val="24"/>
        </w:rPr>
        <w:t>u</w:t>
      </w:r>
      <w:r w:rsidRPr="00C1069A">
        <w:rPr>
          <w:rFonts w:ascii="Arial" w:eastAsia="Calibri" w:hAnsi="Arial" w:cs="Arial"/>
          <w:sz w:val="24"/>
          <w:szCs w:val="24"/>
        </w:rPr>
        <w:t xml:space="preserve">e, </w:t>
      </w:r>
      <w:r w:rsidRPr="00C1069A">
        <w:rPr>
          <w:rFonts w:ascii="Arial" w:eastAsia="Calibri" w:hAnsi="Arial" w:cs="Arial"/>
          <w:spacing w:val="-2"/>
          <w:sz w:val="24"/>
          <w:szCs w:val="24"/>
        </w:rPr>
        <w:t>y</w:t>
      </w:r>
      <w:r w:rsidRPr="00C1069A">
        <w:rPr>
          <w:rFonts w:ascii="Arial" w:eastAsia="Calibri" w:hAnsi="Arial" w:cs="Arial"/>
          <w:sz w:val="24"/>
          <w:szCs w:val="24"/>
        </w:rPr>
        <w:t>ou</w:t>
      </w:r>
      <w:r w:rsidRPr="00C1069A">
        <w:rPr>
          <w:rFonts w:ascii="Arial" w:eastAsia="Calibri" w:hAnsi="Arial" w:cs="Arial"/>
          <w:spacing w:val="-1"/>
          <w:sz w:val="24"/>
          <w:szCs w:val="24"/>
        </w:rPr>
        <w:t xml:space="preserve"> </w:t>
      </w:r>
      <w:r w:rsidRPr="00C1069A">
        <w:rPr>
          <w:rFonts w:ascii="Arial" w:eastAsia="Calibri" w:hAnsi="Arial" w:cs="Arial"/>
          <w:spacing w:val="2"/>
          <w:sz w:val="24"/>
          <w:szCs w:val="24"/>
        </w:rPr>
        <w:t>m</w:t>
      </w:r>
      <w:r w:rsidRPr="00C1069A">
        <w:rPr>
          <w:rFonts w:ascii="Arial" w:eastAsia="Calibri" w:hAnsi="Arial" w:cs="Arial"/>
          <w:sz w:val="24"/>
          <w:szCs w:val="24"/>
        </w:rPr>
        <w:t>ay</w:t>
      </w:r>
      <w:r w:rsidRPr="00C1069A">
        <w:rPr>
          <w:rFonts w:ascii="Arial" w:eastAsia="Calibri" w:hAnsi="Arial" w:cs="Arial"/>
          <w:spacing w:val="-2"/>
          <w:sz w:val="24"/>
          <w:szCs w:val="24"/>
        </w:rPr>
        <w:t xml:space="preserve"> </w:t>
      </w:r>
      <w:r w:rsidRPr="00C1069A">
        <w:rPr>
          <w:rFonts w:ascii="Arial" w:eastAsia="Calibri" w:hAnsi="Arial" w:cs="Arial"/>
          <w:sz w:val="24"/>
          <w:szCs w:val="24"/>
        </w:rPr>
        <w:t>conta</w:t>
      </w:r>
      <w:r w:rsidRPr="00C1069A">
        <w:rPr>
          <w:rFonts w:ascii="Arial" w:eastAsia="Calibri" w:hAnsi="Arial" w:cs="Arial"/>
          <w:spacing w:val="-2"/>
          <w:sz w:val="24"/>
          <w:szCs w:val="24"/>
        </w:rPr>
        <w:t>c</w:t>
      </w:r>
      <w:r w:rsidRPr="00C1069A">
        <w:rPr>
          <w:rFonts w:ascii="Arial" w:eastAsia="Calibri" w:hAnsi="Arial" w:cs="Arial"/>
          <w:sz w:val="24"/>
          <w:szCs w:val="24"/>
        </w:rPr>
        <w:t xml:space="preserve">t </w:t>
      </w:r>
      <w:r w:rsidR="001C26D6">
        <w:rPr>
          <w:rFonts w:ascii="Arial" w:eastAsia="Calibri" w:hAnsi="Arial" w:cs="Arial"/>
          <w:sz w:val="24"/>
          <w:szCs w:val="24"/>
        </w:rPr>
        <w:t>Barry Solomon</w:t>
      </w:r>
      <w:r>
        <w:rPr>
          <w:rFonts w:ascii="Arial" w:eastAsia="Calibri" w:hAnsi="Arial" w:cs="Arial"/>
          <w:sz w:val="24"/>
          <w:szCs w:val="24"/>
        </w:rPr>
        <w:t xml:space="preserve"> </w:t>
      </w:r>
      <w:r w:rsidRPr="00C1069A">
        <w:rPr>
          <w:rFonts w:ascii="Arial" w:eastAsia="Calibri" w:hAnsi="Arial" w:cs="Arial"/>
          <w:sz w:val="24"/>
          <w:szCs w:val="24"/>
        </w:rPr>
        <w:t>at t</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z w:val="24"/>
          <w:szCs w:val="24"/>
        </w:rPr>
        <w:t>e</w:t>
      </w:r>
      <w:r w:rsidRPr="00C1069A">
        <w:rPr>
          <w:rFonts w:ascii="Arial" w:eastAsia="Calibri" w:hAnsi="Arial" w:cs="Arial"/>
          <w:spacing w:val="-3"/>
          <w:sz w:val="24"/>
          <w:szCs w:val="24"/>
        </w:rPr>
        <w:t>-</w:t>
      </w:r>
      <w:r w:rsidRPr="00C1069A">
        <w:rPr>
          <w:rFonts w:ascii="Arial" w:eastAsia="Calibri" w:hAnsi="Arial" w:cs="Arial"/>
          <w:spacing w:val="2"/>
          <w:sz w:val="24"/>
          <w:szCs w:val="24"/>
        </w:rPr>
        <w:t>m</w:t>
      </w:r>
      <w:r w:rsidRPr="00C1069A">
        <w:rPr>
          <w:rFonts w:ascii="Arial" w:eastAsia="Calibri" w:hAnsi="Arial" w:cs="Arial"/>
          <w:sz w:val="24"/>
          <w:szCs w:val="24"/>
        </w:rPr>
        <w:t>ail add</w:t>
      </w:r>
      <w:r w:rsidRPr="00C1069A">
        <w:rPr>
          <w:rFonts w:ascii="Arial" w:eastAsia="Calibri" w:hAnsi="Arial" w:cs="Arial"/>
          <w:spacing w:val="-1"/>
          <w:sz w:val="24"/>
          <w:szCs w:val="24"/>
        </w:rPr>
        <w:t>r</w:t>
      </w:r>
      <w:r w:rsidRPr="00C1069A">
        <w:rPr>
          <w:rFonts w:ascii="Arial" w:eastAsia="Calibri" w:hAnsi="Arial" w:cs="Arial"/>
          <w:sz w:val="24"/>
          <w:szCs w:val="24"/>
        </w:rPr>
        <w:t>ess</w:t>
      </w:r>
      <w:r w:rsidRPr="00C1069A">
        <w:rPr>
          <w:rFonts w:ascii="Arial" w:eastAsia="Calibri" w:hAnsi="Arial" w:cs="Arial"/>
          <w:spacing w:val="-2"/>
          <w:sz w:val="24"/>
          <w:szCs w:val="24"/>
        </w:rPr>
        <w:t xml:space="preserve"> </w:t>
      </w:r>
      <w:r w:rsidRPr="00C1069A">
        <w:rPr>
          <w:rFonts w:ascii="Arial" w:eastAsia="Calibri" w:hAnsi="Arial" w:cs="Arial"/>
          <w:sz w:val="24"/>
          <w:szCs w:val="24"/>
        </w:rPr>
        <w:t>a</w:t>
      </w:r>
      <w:r w:rsidRPr="00C1069A">
        <w:rPr>
          <w:rFonts w:ascii="Arial" w:eastAsia="Calibri" w:hAnsi="Arial" w:cs="Arial"/>
          <w:spacing w:val="-2"/>
          <w:sz w:val="24"/>
          <w:szCs w:val="24"/>
        </w:rPr>
        <w:t>b</w:t>
      </w:r>
      <w:r w:rsidRPr="00C1069A">
        <w:rPr>
          <w:rFonts w:ascii="Arial" w:eastAsia="Calibri" w:hAnsi="Arial" w:cs="Arial"/>
          <w:sz w:val="24"/>
          <w:szCs w:val="24"/>
        </w:rPr>
        <w:t>o</w:t>
      </w:r>
      <w:r w:rsidRPr="00C1069A">
        <w:rPr>
          <w:rFonts w:ascii="Arial" w:eastAsia="Calibri" w:hAnsi="Arial" w:cs="Arial"/>
          <w:spacing w:val="-2"/>
          <w:sz w:val="24"/>
          <w:szCs w:val="24"/>
        </w:rPr>
        <w:t>v</w:t>
      </w:r>
      <w:r w:rsidRPr="00C1069A">
        <w:rPr>
          <w:rFonts w:ascii="Arial" w:eastAsia="Calibri" w:hAnsi="Arial" w:cs="Arial"/>
          <w:sz w:val="24"/>
          <w:szCs w:val="24"/>
        </w:rPr>
        <w:t>e. For</w:t>
      </w:r>
      <w:r w:rsidRPr="00C1069A">
        <w:rPr>
          <w:rFonts w:ascii="Arial" w:eastAsia="Calibri" w:hAnsi="Arial" w:cs="Arial"/>
          <w:spacing w:val="-2"/>
          <w:sz w:val="24"/>
          <w:szCs w:val="24"/>
        </w:rPr>
        <w:t xml:space="preserve"> </w:t>
      </w:r>
      <w:r w:rsidRPr="00C1069A">
        <w:rPr>
          <w:rFonts w:ascii="Arial" w:eastAsia="Calibri" w:hAnsi="Arial" w:cs="Arial"/>
          <w:spacing w:val="3"/>
          <w:sz w:val="24"/>
          <w:szCs w:val="24"/>
        </w:rPr>
        <w:t>f</w:t>
      </w:r>
      <w:r w:rsidRPr="00C1069A">
        <w:rPr>
          <w:rFonts w:ascii="Arial" w:eastAsia="Calibri" w:hAnsi="Arial" w:cs="Arial"/>
          <w:spacing w:val="-1"/>
          <w:sz w:val="24"/>
          <w:szCs w:val="24"/>
        </w:rPr>
        <w:t>u</w:t>
      </w:r>
      <w:r w:rsidRPr="00C1069A">
        <w:rPr>
          <w:rFonts w:ascii="Arial" w:eastAsia="Calibri" w:hAnsi="Arial" w:cs="Arial"/>
          <w:sz w:val="24"/>
          <w:szCs w:val="24"/>
        </w:rPr>
        <w:t>tu</w:t>
      </w:r>
      <w:r w:rsidRPr="00C1069A">
        <w:rPr>
          <w:rFonts w:ascii="Arial" w:eastAsia="Calibri" w:hAnsi="Arial" w:cs="Arial"/>
          <w:spacing w:val="-1"/>
          <w:sz w:val="24"/>
          <w:szCs w:val="24"/>
        </w:rPr>
        <w:t>r</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002743A6">
        <w:rPr>
          <w:rFonts w:ascii="Arial" w:eastAsia="Calibri" w:hAnsi="Arial" w:cs="Arial"/>
          <w:spacing w:val="-1"/>
          <w:sz w:val="24"/>
          <w:szCs w:val="24"/>
        </w:rPr>
        <w:t>editions or comments</w:t>
      </w:r>
      <w:r w:rsidRPr="00C1069A">
        <w:rPr>
          <w:rFonts w:ascii="Arial" w:eastAsia="Calibri" w:hAnsi="Arial" w:cs="Arial"/>
          <w:spacing w:val="-2"/>
          <w:sz w:val="24"/>
          <w:szCs w:val="24"/>
        </w:rPr>
        <w:t xml:space="preserve"> </w:t>
      </w:r>
      <w:r w:rsidRPr="00C1069A">
        <w:rPr>
          <w:rFonts w:ascii="Arial" w:eastAsia="Calibri" w:hAnsi="Arial" w:cs="Arial"/>
          <w:sz w:val="24"/>
          <w:szCs w:val="24"/>
        </w:rPr>
        <w:t>p</w:t>
      </w:r>
      <w:r w:rsidRPr="00C1069A">
        <w:rPr>
          <w:rFonts w:ascii="Arial" w:eastAsia="Calibri" w:hAnsi="Arial" w:cs="Arial"/>
          <w:spacing w:val="-1"/>
          <w:sz w:val="24"/>
          <w:szCs w:val="24"/>
        </w:rPr>
        <w:t>le</w:t>
      </w:r>
      <w:r w:rsidRPr="00C1069A">
        <w:rPr>
          <w:rFonts w:ascii="Arial" w:eastAsia="Calibri" w:hAnsi="Arial" w:cs="Arial"/>
          <w:sz w:val="24"/>
          <w:szCs w:val="24"/>
        </w:rPr>
        <w:t>ase</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c</w:t>
      </w:r>
      <w:r w:rsidRPr="00C1069A">
        <w:rPr>
          <w:rFonts w:ascii="Arial" w:eastAsia="Calibri" w:hAnsi="Arial" w:cs="Arial"/>
          <w:sz w:val="24"/>
          <w:szCs w:val="24"/>
        </w:rPr>
        <w:t>on</w:t>
      </w:r>
      <w:r w:rsidRPr="00C1069A">
        <w:rPr>
          <w:rFonts w:ascii="Arial" w:eastAsia="Calibri" w:hAnsi="Arial" w:cs="Arial"/>
          <w:spacing w:val="-2"/>
          <w:sz w:val="24"/>
          <w:szCs w:val="24"/>
        </w:rPr>
        <w:t>t</w:t>
      </w:r>
      <w:r w:rsidRPr="00C1069A">
        <w:rPr>
          <w:rFonts w:ascii="Arial" w:eastAsia="Calibri" w:hAnsi="Arial" w:cs="Arial"/>
          <w:sz w:val="24"/>
          <w:szCs w:val="24"/>
        </w:rPr>
        <w:t>act t</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z w:val="24"/>
          <w:szCs w:val="24"/>
        </w:rPr>
        <w:t>S</w:t>
      </w:r>
      <w:r w:rsidRPr="00C1069A">
        <w:rPr>
          <w:rFonts w:ascii="Arial" w:eastAsia="Calibri" w:hAnsi="Arial" w:cs="Arial"/>
          <w:spacing w:val="-3"/>
          <w:sz w:val="24"/>
          <w:szCs w:val="24"/>
        </w:rPr>
        <w:t>i</w:t>
      </w:r>
      <w:r w:rsidRPr="00C1069A">
        <w:rPr>
          <w:rFonts w:ascii="Arial" w:eastAsia="Calibri" w:hAnsi="Arial" w:cs="Arial"/>
          <w:spacing w:val="2"/>
          <w:sz w:val="24"/>
          <w:szCs w:val="24"/>
        </w:rPr>
        <w:t>m</w:t>
      </w:r>
      <w:r w:rsidRPr="00C1069A">
        <w:rPr>
          <w:rFonts w:ascii="Arial" w:eastAsia="Calibri" w:hAnsi="Arial" w:cs="Arial"/>
          <w:sz w:val="24"/>
          <w:szCs w:val="24"/>
        </w:rPr>
        <w:t>p</w:t>
      </w:r>
      <w:r w:rsidRPr="00C1069A">
        <w:rPr>
          <w:rFonts w:ascii="Arial" w:eastAsia="Calibri" w:hAnsi="Arial" w:cs="Arial"/>
          <w:spacing w:val="-1"/>
          <w:sz w:val="24"/>
          <w:szCs w:val="24"/>
        </w:rPr>
        <w:t>l</w:t>
      </w:r>
      <w:r w:rsidRPr="00C1069A">
        <w:rPr>
          <w:rFonts w:ascii="Arial" w:eastAsia="Calibri" w:hAnsi="Arial" w:cs="Arial"/>
          <w:spacing w:val="-3"/>
          <w:sz w:val="24"/>
          <w:szCs w:val="24"/>
        </w:rPr>
        <w:t>i</w:t>
      </w:r>
      <w:r w:rsidRPr="00C1069A">
        <w:rPr>
          <w:rFonts w:ascii="Arial" w:eastAsia="Calibri" w:hAnsi="Arial" w:cs="Arial"/>
          <w:spacing w:val="3"/>
          <w:sz w:val="24"/>
          <w:szCs w:val="24"/>
        </w:rPr>
        <w:t>f</w:t>
      </w:r>
      <w:r w:rsidRPr="00C1069A">
        <w:rPr>
          <w:rFonts w:ascii="Arial" w:eastAsia="Calibri" w:hAnsi="Arial" w:cs="Arial"/>
          <w:spacing w:val="-1"/>
          <w:sz w:val="24"/>
          <w:szCs w:val="24"/>
        </w:rPr>
        <w:t>i</w:t>
      </w:r>
      <w:r w:rsidRPr="00C1069A">
        <w:rPr>
          <w:rFonts w:ascii="Arial" w:eastAsia="Calibri" w:hAnsi="Arial" w:cs="Arial"/>
          <w:sz w:val="24"/>
          <w:szCs w:val="24"/>
        </w:rPr>
        <w:t>ed</w:t>
      </w:r>
      <w:r w:rsidRPr="00C1069A">
        <w:rPr>
          <w:rFonts w:ascii="Arial" w:eastAsia="Calibri" w:hAnsi="Arial" w:cs="Arial"/>
          <w:spacing w:val="-1"/>
          <w:sz w:val="24"/>
          <w:szCs w:val="24"/>
        </w:rPr>
        <w:t xml:space="preserve"> </w:t>
      </w:r>
      <w:r w:rsidRPr="00C1069A">
        <w:rPr>
          <w:rFonts w:ascii="Arial" w:eastAsia="Calibri" w:hAnsi="Arial" w:cs="Arial"/>
          <w:sz w:val="24"/>
          <w:szCs w:val="24"/>
        </w:rPr>
        <w:t>Ac</w:t>
      </w:r>
      <w:r w:rsidRPr="00C1069A">
        <w:rPr>
          <w:rFonts w:ascii="Arial" w:eastAsia="Calibri" w:hAnsi="Arial" w:cs="Arial"/>
          <w:spacing w:val="-1"/>
          <w:sz w:val="24"/>
          <w:szCs w:val="24"/>
        </w:rPr>
        <w:t>qui</w:t>
      </w:r>
      <w:r w:rsidRPr="00C1069A">
        <w:rPr>
          <w:rFonts w:ascii="Arial" w:eastAsia="Calibri" w:hAnsi="Arial" w:cs="Arial"/>
          <w:sz w:val="24"/>
          <w:szCs w:val="24"/>
        </w:rPr>
        <w:t>s</w:t>
      </w:r>
      <w:r w:rsidRPr="00C1069A">
        <w:rPr>
          <w:rFonts w:ascii="Arial" w:eastAsia="Calibri" w:hAnsi="Arial" w:cs="Arial"/>
          <w:spacing w:val="-1"/>
          <w:sz w:val="24"/>
          <w:szCs w:val="24"/>
        </w:rPr>
        <w:t>i</w:t>
      </w:r>
      <w:r w:rsidRPr="00C1069A">
        <w:rPr>
          <w:rFonts w:ascii="Arial" w:eastAsia="Calibri" w:hAnsi="Arial" w:cs="Arial"/>
          <w:sz w:val="24"/>
          <w:szCs w:val="24"/>
        </w:rPr>
        <w:t>t</w:t>
      </w:r>
      <w:r w:rsidRPr="00C1069A">
        <w:rPr>
          <w:rFonts w:ascii="Arial" w:eastAsia="Calibri" w:hAnsi="Arial" w:cs="Arial"/>
          <w:spacing w:val="-1"/>
          <w:sz w:val="24"/>
          <w:szCs w:val="24"/>
        </w:rPr>
        <w:t>i</w:t>
      </w:r>
      <w:r w:rsidRPr="00C1069A">
        <w:rPr>
          <w:rFonts w:ascii="Arial" w:eastAsia="Calibri" w:hAnsi="Arial" w:cs="Arial"/>
          <w:sz w:val="24"/>
          <w:szCs w:val="24"/>
        </w:rPr>
        <w:t xml:space="preserve">ons </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1"/>
          <w:sz w:val="24"/>
          <w:szCs w:val="24"/>
        </w:rPr>
        <w:t>l</w:t>
      </w:r>
      <w:r w:rsidRPr="00C1069A">
        <w:rPr>
          <w:rFonts w:ascii="Arial" w:eastAsia="Calibri" w:hAnsi="Arial" w:cs="Arial"/>
          <w:sz w:val="24"/>
          <w:szCs w:val="24"/>
        </w:rPr>
        <w:t>p</w:t>
      </w:r>
      <w:r w:rsidRPr="00C1069A">
        <w:rPr>
          <w:rFonts w:ascii="Arial" w:eastAsia="Calibri" w:hAnsi="Arial" w:cs="Arial"/>
          <w:spacing w:val="-1"/>
          <w:sz w:val="24"/>
          <w:szCs w:val="24"/>
        </w:rPr>
        <w:t>li</w:t>
      </w:r>
      <w:r w:rsidRPr="00C1069A">
        <w:rPr>
          <w:rFonts w:ascii="Arial" w:eastAsia="Calibri" w:hAnsi="Arial" w:cs="Arial"/>
          <w:sz w:val="24"/>
          <w:szCs w:val="24"/>
        </w:rPr>
        <w:t>ne</w:t>
      </w:r>
      <w:r w:rsidRPr="00C1069A">
        <w:rPr>
          <w:rFonts w:ascii="Arial" w:eastAsia="Calibri" w:hAnsi="Arial" w:cs="Arial"/>
          <w:spacing w:val="-1"/>
          <w:sz w:val="24"/>
          <w:szCs w:val="24"/>
        </w:rPr>
        <w:t xml:space="preserve"> </w:t>
      </w:r>
      <w:r w:rsidRPr="00C1069A">
        <w:rPr>
          <w:rFonts w:ascii="Arial" w:eastAsia="Calibri" w:hAnsi="Arial" w:cs="Arial"/>
          <w:sz w:val="24"/>
          <w:szCs w:val="24"/>
        </w:rPr>
        <w:t>on 301</w:t>
      </w:r>
      <w:r w:rsidRPr="00C1069A">
        <w:rPr>
          <w:rFonts w:ascii="Arial" w:eastAsia="Calibri" w:hAnsi="Arial" w:cs="Arial"/>
          <w:spacing w:val="-1"/>
          <w:sz w:val="24"/>
          <w:szCs w:val="24"/>
        </w:rPr>
        <w:t>-4</w:t>
      </w:r>
      <w:r w:rsidRPr="00C1069A">
        <w:rPr>
          <w:rFonts w:ascii="Arial" w:eastAsia="Calibri" w:hAnsi="Arial" w:cs="Arial"/>
          <w:sz w:val="24"/>
          <w:szCs w:val="24"/>
        </w:rPr>
        <w:t>96</w:t>
      </w:r>
      <w:r w:rsidRPr="00C1069A">
        <w:rPr>
          <w:rFonts w:ascii="Arial" w:eastAsia="Calibri" w:hAnsi="Arial" w:cs="Arial"/>
          <w:spacing w:val="-1"/>
          <w:sz w:val="24"/>
          <w:szCs w:val="24"/>
        </w:rPr>
        <w:t>-</w:t>
      </w:r>
      <w:r w:rsidRPr="00C1069A">
        <w:rPr>
          <w:rFonts w:ascii="Arial" w:eastAsia="Calibri" w:hAnsi="Arial" w:cs="Arial"/>
          <w:sz w:val="24"/>
          <w:szCs w:val="24"/>
        </w:rPr>
        <w:t>0</w:t>
      </w:r>
      <w:r w:rsidRPr="00C1069A">
        <w:rPr>
          <w:rFonts w:ascii="Arial" w:eastAsia="Calibri" w:hAnsi="Arial" w:cs="Arial"/>
          <w:spacing w:val="-2"/>
          <w:sz w:val="24"/>
          <w:szCs w:val="24"/>
        </w:rPr>
        <w:t>4</w:t>
      </w:r>
      <w:r w:rsidRPr="00C1069A">
        <w:rPr>
          <w:rFonts w:ascii="Arial" w:eastAsia="Calibri" w:hAnsi="Arial" w:cs="Arial"/>
          <w:sz w:val="24"/>
          <w:szCs w:val="24"/>
        </w:rPr>
        <w:t>00</w:t>
      </w:r>
      <w:r w:rsidRPr="00C1069A">
        <w:rPr>
          <w:rFonts w:ascii="Arial" w:eastAsia="Calibri" w:hAnsi="Arial" w:cs="Arial"/>
          <w:spacing w:val="-1"/>
          <w:sz w:val="24"/>
          <w:szCs w:val="24"/>
        </w:rPr>
        <w:t xml:space="preserve"> </w:t>
      </w:r>
      <w:r w:rsidRPr="00C1069A">
        <w:rPr>
          <w:rFonts w:ascii="Arial" w:eastAsia="Calibri" w:hAnsi="Arial" w:cs="Arial"/>
          <w:sz w:val="24"/>
          <w:szCs w:val="24"/>
        </w:rPr>
        <w:t xml:space="preserve">or </w:t>
      </w:r>
      <w:r w:rsidRPr="00C1069A">
        <w:rPr>
          <w:rFonts w:ascii="Arial" w:eastAsia="Calibri" w:hAnsi="Arial" w:cs="Arial"/>
          <w:spacing w:val="-2"/>
          <w:sz w:val="24"/>
          <w:szCs w:val="24"/>
        </w:rPr>
        <w:t>v</w:t>
      </w:r>
      <w:r w:rsidRPr="00C1069A">
        <w:rPr>
          <w:rFonts w:ascii="Arial" w:eastAsia="Calibri" w:hAnsi="Arial" w:cs="Arial"/>
          <w:spacing w:val="-1"/>
          <w:sz w:val="24"/>
          <w:szCs w:val="24"/>
        </w:rPr>
        <w:t>i</w:t>
      </w:r>
      <w:r w:rsidRPr="00C1069A">
        <w:rPr>
          <w:rFonts w:ascii="Arial" w:eastAsia="Calibri" w:hAnsi="Arial" w:cs="Arial"/>
          <w:sz w:val="24"/>
          <w:szCs w:val="24"/>
        </w:rPr>
        <w:t>a</w:t>
      </w:r>
      <w:r w:rsidRPr="00C1069A">
        <w:rPr>
          <w:rFonts w:ascii="Arial" w:eastAsia="Calibri" w:hAnsi="Arial" w:cs="Arial"/>
          <w:spacing w:val="2"/>
          <w:sz w:val="24"/>
          <w:szCs w:val="24"/>
        </w:rPr>
        <w:t xml:space="preserve"> </w:t>
      </w:r>
      <w:r w:rsidRPr="00C1069A">
        <w:rPr>
          <w:rFonts w:ascii="Arial" w:eastAsia="Calibri" w:hAnsi="Arial" w:cs="Arial"/>
          <w:sz w:val="24"/>
          <w:szCs w:val="24"/>
        </w:rPr>
        <w:t>e</w:t>
      </w:r>
      <w:r w:rsidRPr="00C1069A">
        <w:rPr>
          <w:rFonts w:ascii="Arial" w:eastAsia="Calibri" w:hAnsi="Arial" w:cs="Arial"/>
          <w:spacing w:val="-1"/>
          <w:sz w:val="24"/>
          <w:szCs w:val="24"/>
        </w:rPr>
        <w:t>-</w:t>
      </w:r>
      <w:r w:rsidRPr="00C1069A">
        <w:rPr>
          <w:rFonts w:ascii="Arial" w:eastAsia="Calibri" w:hAnsi="Arial" w:cs="Arial"/>
          <w:spacing w:val="2"/>
          <w:sz w:val="24"/>
          <w:szCs w:val="24"/>
        </w:rPr>
        <w:t>m</w:t>
      </w:r>
      <w:r w:rsidRPr="00C1069A">
        <w:rPr>
          <w:rFonts w:ascii="Arial" w:eastAsia="Calibri" w:hAnsi="Arial" w:cs="Arial"/>
          <w:sz w:val="24"/>
          <w:szCs w:val="24"/>
        </w:rPr>
        <w:t xml:space="preserve">ail at </w:t>
      </w:r>
      <w:hyperlink r:id="rId47" w:tooltip="OALMnewsletter@mail.nih.gov" w:history="1">
        <w:r w:rsidRPr="00C1069A">
          <w:rPr>
            <w:rFonts w:ascii="Arial" w:eastAsia="Calibri" w:hAnsi="Arial" w:cs="Arial"/>
            <w:color w:val="0563C1"/>
            <w:sz w:val="24"/>
            <w:szCs w:val="24"/>
            <w:u w:val="single"/>
          </w:rPr>
          <w:t>OALMnewsletter@mail.nih.gov</w:t>
        </w:r>
      </w:hyperlink>
      <w:hyperlink>
        <w:r w:rsidRPr="00C1069A">
          <w:rPr>
            <w:rFonts w:ascii="Arial" w:eastAsia="Calibri" w:hAnsi="Arial" w:cs="Arial"/>
            <w:color w:val="000000"/>
            <w:sz w:val="24"/>
            <w:szCs w:val="24"/>
          </w:rPr>
          <w:t xml:space="preserve"> and</w:t>
        </w:r>
        <w:r w:rsidRPr="00C1069A">
          <w:rPr>
            <w:rFonts w:ascii="Arial" w:eastAsia="Calibri" w:hAnsi="Arial" w:cs="Arial"/>
            <w:color w:val="000000"/>
            <w:spacing w:val="-1"/>
            <w:sz w:val="24"/>
            <w:szCs w:val="24"/>
          </w:rPr>
          <w:t xml:space="preserve"> </w:t>
        </w:r>
        <w:r w:rsidRPr="00C1069A">
          <w:rPr>
            <w:rFonts w:ascii="Arial" w:eastAsia="Calibri" w:hAnsi="Arial" w:cs="Arial"/>
            <w:color w:val="000000"/>
            <w:spacing w:val="-2"/>
            <w:sz w:val="24"/>
            <w:szCs w:val="24"/>
          </w:rPr>
          <w:t>y</w:t>
        </w:r>
        <w:r w:rsidRPr="00C1069A">
          <w:rPr>
            <w:rFonts w:ascii="Arial" w:eastAsia="Calibri" w:hAnsi="Arial" w:cs="Arial"/>
            <w:color w:val="000000"/>
            <w:sz w:val="24"/>
            <w:szCs w:val="24"/>
          </w:rPr>
          <w:t>ou</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3"/>
            <w:sz w:val="24"/>
            <w:szCs w:val="24"/>
          </w:rPr>
          <w:t>w</w:t>
        </w:r>
        <w:r w:rsidRPr="00C1069A">
          <w:rPr>
            <w:rFonts w:ascii="Arial" w:eastAsia="Calibri" w:hAnsi="Arial" w:cs="Arial"/>
            <w:color w:val="000000"/>
            <w:spacing w:val="-1"/>
            <w:sz w:val="24"/>
            <w:szCs w:val="24"/>
          </w:rPr>
          <w:t>il</w:t>
        </w:r>
        <w:r w:rsidRPr="00C1069A">
          <w:rPr>
            <w:rFonts w:ascii="Arial" w:eastAsia="Calibri" w:hAnsi="Arial" w:cs="Arial"/>
            <w:color w:val="000000"/>
            <w:sz w:val="24"/>
            <w:szCs w:val="24"/>
          </w:rPr>
          <w:t xml:space="preserve">l be </w:t>
        </w:r>
        <w:r w:rsidRPr="00C1069A">
          <w:rPr>
            <w:rFonts w:ascii="Arial" w:eastAsia="Calibri" w:hAnsi="Arial" w:cs="Arial"/>
            <w:color w:val="000000"/>
            <w:spacing w:val="-1"/>
            <w:sz w:val="24"/>
            <w:szCs w:val="24"/>
          </w:rPr>
          <w:t>r</w:t>
        </w:r>
        <w:r w:rsidRPr="00C1069A">
          <w:rPr>
            <w:rFonts w:ascii="Arial" w:eastAsia="Calibri" w:hAnsi="Arial" w:cs="Arial"/>
            <w:color w:val="000000"/>
            <w:sz w:val="24"/>
            <w:szCs w:val="24"/>
          </w:rPr>
          <w:t>efe</w:t>
        </w:r>
        <w:r w:rsidRPr="00C1069A">
          <w:rPr>
            <w:rFonts w:ascii="Arial" w:eastAsia="Calibri" w:hAnsi="Arial" w:cs="Arial"/>
            <w:color w:val="000000"/>
            <w:spacing w:val="-1"/>
            <w:sz w:val="24"/>
            <w:szCs w:val="24"/>
          </w:rPr>
          <w:t>rr</w:t>
        </w:r>
        <w:r w:rsidRPr="00C1069A">
          <w:rPr>
            <w:rFonts w:ascii="Arial" w:eastAsia="Calibri" w:hAnsi="Arial" w:cs="Arial"/>
            <w:color w:val="000000"/>
            <w:sz w:val="24"/>
            <w:szCs w:val="24"/>
          </w:rPr>
          <w:t>ed</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2"/>
            <w:sz w:val="24"/>
            <w:szCs w:val="24"/>
          </w:rPr>
          <w:t>t</w:t>
        </w:r>
        <w:r w:rsidRPr="00C1069A">
          <w:rPr>
            <w:rFonts w:ascii="Arial" w:eastAsia="Calibri" w:hAnsi="Arial" w:cs="Arial"/>
            <w:color w:val="000000"/>
            <w:sz w:val="24"/>
            <w:szCs w:val="24"/>
          </w:rPr>
          <w:t>o</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z w:val="24"/>
            <w:szCs w:val="24"/>
          </w:rPr>
          <w:t>t</w:t>
        </w:r>
        <w:r w:rsidRPr="00C1069A">
          <w:rPr>
            <w:rFonts w:ascii="Arial" w:eastAsia="Calibri" w:hAnsi="Arial" w:cs="Arial"/>
            <w:color w:val="000000"/>
            <w:spacing w:val="-1"/>
            <w:sz w:val="24"/>
            <w:szCs w:val="24"/>
          </w:rPr>
          <w:t>h</w:t>
        </w:r>
        <w:r w:rsidRPr="00C1069A">
          <w:rPr>
            <w:rFonts w:ascii="Arial" w:eastAsia="Calibri" w:hAnsi="Arial" w:cs="Arial"/>
            <w:color w:val="000000"/>
            <w:sz w:val="24"/>
            <w:szCs w:val="24"/>
          </w:rPr>
          <w:t>e</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1"/>
            <w:sz w:val="24"/>
            <w:szCs w:val="24"/>
          </w:rPr>
          <w:t>a</w:t>
        </w:r>
        <w:r w:rsidRPr="00C1069A">
          <w:rPr>
            <w:rFonts w:ascii="Arial" w:eastAsia="Calibri" w:hAnsi="Arial" w:cs="Arial"/>
            <w:color w:val="000000"/>
            <w:sz w:val="24"/>
            <w:szCs w:val="24"/>
          </w:rPr>
          <w:t>pp</w:t>
        </w:r>
        <w:r w:rsidRPr="00C1069A">
          <w:rPr>
            <w:rFonts w:ascii="Arial" w:eastAsia="Calibri" w:hAnsi="Arial" w:cs="Arial"/>
            <w:color w:val="000000"/>
            <w:spacing w:val="-1"/>
            <w:sz w:val="24"/>
            <w:szCs w:val="24"/>
          </w:rPr>
          <w:t>ro</w:t>
        </w:r>
        <w:r w:rsidRPr="00C1069A">
          <w:rPr>
            <w:rFonts w:ascii="Arial" w:eastAsia="Calibri" w:hAnsi="Arial" w:cs="Arial"/>
            <w:color w:val="000000"/>
            <w:sz w:val="24"/>
            <w:szCs w:val="24"/>
          </w:rPr>
          <w:t>p</w:t>
        </w:r>
        <w:r w:rsidRPr="00C1069A">
          <w:rPr>
            <w:rFonts w:ascii="Arial" w:eastAsia="Calibri" w:hAnsi="Arial" w:cs="Arial"/>
            <w:color w:val="000000"/>
            <w:spacing w:val="-1"/>
            <w:sz w:val="24"/>
            <w:szCs w:val="24"/>
          </w:rPr>
          <w:t>ri</w:t>
        </w:r>
        <w:r w:rsidRPr="00C1069A">
          <w:rPr>
            <w:rFonts w:ascii="Arial" w:eastAsia="Calibri" w:hAnsi="Arial" w:cs="Arial"/>
            <w:color w:val="000000"/>
            <w:sz w:val="24"/>
            <w:szCs w:val="24"/>
          </w:rPr>
          <w:t>ate</w:t>
        </w:r>
        <w:r w:rsidRPr="00C1069A">
          <w:rPr>
            <w:rFonts w:ascii="Arial" w:eastAsia="Calibri" w:hAnsi="Arial" w:cs="Arial"/>
            <w:color w:val="000000"/>
            <w:spacing w:val="-1"/>
            <w:sz w:val="24"/>
            <w:szCs w:val="24"/>
          </w:rPr>
          <w:t xml:space="preserve"> </w:t>
        </w:r>
        <w:r w:rsidRPr="00C1069A">
          <w:rPr>
            <w:rFonts w:ascii="Arial" w:eastAsia="Calibri" w:hAnsi="Arial" w:cs="Arial"/>
            <w:color w:val="000000"/>
            <w:sz w:val="24"/>
            <w:szCs w:val="24"/>
          </w:rPr>
          <w:t>ed</w:t>
        </w:r>
        <w:r w:rsidRPr="00C1069A">
          <w:rPr>
            <w:rFonts w:ascii="Arial" w:eastAsia="Calibri" w:hAnsi="Arial" w:cs="Arial"/>
            <w:color w:val="000000"/>
            <w:spacing w:val="-1"/>
            <w:sz w:val="24"/>
            <w:szCs w:val="24"/>
          </w:rPr>
          <w:t>i</w:t>
        </w:r>
        <w:r w:rsidRPr="00C1069A">
          <w:rPr>
            <w:rFonts w:ascii="Arial" w:eastAsia="Calibri" w:hAnsi="Arial" w:cs="Arial"/>
            <w:color w:val="000000"/>
            <w:sz w:val="24"/>
            <w:szCs w:val="24"/>
          </w:rPr>
          <w:t>to</w:t>
        </w:r>
        <w:r w:rsidRPr="00C1069A">
          <w:rPr>
            <w:rFonts w:ascii="Arial" w:eastAsia="Calibri" w:hAnsi="Arial" w:cs="Arial"/>
            <w:color w:val="000000"/>
            <w:spacing w:val="-1"/>
            <w:sz w:val="24"/>
            <w:szCs w:val="24"/>
          </w:rPr>
          <w:t>r</w:t>
        </w:r>
        <w:r w:rsidRPr="00C1069A">
          <w:rPr>
            <w:rFonts w:ascii="Arial" w:eastAsia="Calibri" w:hAnsi="Arial" w:cs="Arial"/>
            <w:color w:val="000000"/>
            <w:sz w:val="24"/>
            <w:szCs w:val="24"/>
          </w:rPr>
          <w:t>.</w:t>
        </w:r>
      </w:hyperlink>
    </w:p>
    <w:p w14:paraId="1836E636" w14:textId="77777777" w:rsidR="00285777" w:rsidRPr="00285777" w:rsidRDefault="00285777" w:rsidP="00556AD2">
      <w:pPr>
        <w:spacing w:line="240" w:lineRule="auto"/>
        <w:rPr>
          <w:sz w:val="32"/>
          <w:szCs w:val="32"/>
        </w:rPr>
      </w:pPr>
    </w:p>
    <w:sectPr w:rsidR="00285777" w:rsidRPr="00285777" w:rsidSect="00086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54E0" w14:textId="77777777" w:rsidR="00AF1DB8" w:rsidRDefault="00AF1DB8" w:rsidP="00E168A5">
      <w:pPr>
        <w:spacing w:after="0" w:line="240" w:lineRule="auto"/>
      </w:pPr>
      <w:r>
        <w:separator/>
      </w:r>
    </w:p>
  </w:endnote>
  <w:endnote w:type="continuationSeparator" w:id="0">
    <w:p w14:paraId="4261DD8D" w14:textId="77777777" w:rsidR="00AF1DB8" w:rsidRDefault="00AF1DB8" w:rsidP="00E1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37B2" w14:textId="77777777" w:rsidR="00AF1DB8" w:rsidRDefault="00AF1DB8" w:rsidP="00E168A5">
      <w:pPr>
        <w:spacing w:after="0" w:line="240" w:lineRule="auto"/>
      </w:pPr>
      <w:r>
        <w:separator/>
      </w:r>
    </w:p>
  </w:footnote>
  <w:footnote w:type="continuationSeparator" w:id="0">
    <w:p w14:paraId="6FCC131C" w14:textId="77777777" w:rsidR="00AF1DB8" w:rsidRDefault="00AF1DB8" w:rsidP="00E16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A6A5E"/>
    <w:multiLevelType w:val="hybridMultilevel"/>
    <w:tmpl w:val="68C00AE6"/>
    <w:lvl w:ilvl="0" w:tplc="CD3E5496">
      <w:start w:val="88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3669A"/>
    <w:multiLevelType w:val="multilevel"/>
    <w:tmpl w:val="7EF8983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19D69AB"/>
    <w:multiLevelType w:val="hybridMultilevel"/>
    <w:tmpl w:val="117C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905A91"/>
    <w:multiLevelType w:val="hybridMultilevel"/>
    <w:tmpl w:val="8FCE3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E41D54"/>
    <w:multiLevelType w:val="hybridMultilevel"/>
    <w:tmpl w:val="4EE87954"/>
    <w:lvl w:ilvl="0" w:tplc="38347E86">
      <w:start w:val="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978AC"/>
    <w:multiLevelType w:val="hybridMultilevel"/>
    <w:tmpl w:val="74E61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D217E"/>
    <w:multiLevelType w:val="hybridMultilevel"/>
    <w:tmpl w:val="343E9AFC"/>
    <w:lvl w:ilvl="0" w:tplc="FE2EC752">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060A2"/>
    <w:multiLevelType w:val="hybridMultilevel"/>
    <w:tmpl w:val="DDF4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9B"/>
    <w:rsid w:val="00086392"/>
    <w:rsid w:val="000E6C3E"/>
    <w:rsid w:val="00122BB7"/>
    <w:rsid w:val="001453A1"/>
    <w:rsid w:val="00154EFA"/>
    <w:rsid w:val="00157B2D"/>
    <w:rsid w:val="001C26D6"/>
    <w:rsid w:val="001D6B2D"/>
    <w:rsid w:val="002418E7"/>
    <w:rsid w:val="002743A6"/>
    <w:rsid w:val="00285777"/>
    <w:rsid w:val="002A0DA6"/>
    <w:rsid w:val="002A489C"/>
    <w:rsid w:val="002D41C8"/>
    <w:rsid w:val="002F2920"/>
    <w:rsid w:val="003020A9"/>
    <w:rsid w:val="00383AED"/>
    <w:rsid w:val="0042596E"/>
    <w:rsid w:val="004667B5"/>
    <w:rsid w:val="004A6979"/>
    <w:rsid w:val="00556AD2"/>
    <w:rsid w:val="00576399"/>
    <w:rsid w:val="00583D42"/>
    <w:rsid w:val="0058729B"/>
    <w:rsid w:val="005C352D"/>
    <w:rsid w:val="00635285"/>
    <w:rsid w:val="006A184B"/>
    <w:rsid w:val="006B4397"/>
    <w:rsid w:val="006B7DFF"/>
    <w:rsid w:val="00713964"/>
    <w:rsid w:val="00795A99"/>
    <w:rsid w:val="007B5B98"/>
    <w:rsid w:val="007F2893"/>
    <w:rsid w:val="007F773D"/>
    <w:rsid w:val="0090145C"/>
    <w:rsid w:val="00943511"/>
    <w:rsid w:val="00961CBE"/>
    <w:rsid w:val="00A16A79"/>
    <w:rsid w:val="00A406AE"/>
    <w:rsid w:val="00A5769E"/>
    <w:rsid w:val="00AD69EA"/>
    <w:rsid w:val="00AF1DB8"/>
    <w:rsid w:val="00B27D52"/>
    <w:rsid w:val="00BA5574"/>
    <w:rsid w:val="00C1069A"/>
    <w:rsid w:val="00CB63DD"/>
    <w:rsid w:val="00CD557B"/>
    <w:rsid w:val="00CE20E5"/>
    <w:rsid w:val="00D17BB8"/>
    <w:rsid w:val="00D733A4"/>
    <w:rsid w:val="00DD4480"/>
    <w:rsid w:val="00DE313B"/>
    <w:rsid w:val="00E168A5"/>
    <w:rsid w:val="00E50F52"/>
    <w:rsid w:val="00E820AA"/>
    <w:rsid w:val="00F07A30"/>
    <w:rsid w:val="00F1153B"/>
    <w:rsid w:val="00F203BC"/>
    <w:rsid w:val="00F46ED7"/>
    <w:rsid w:val="00F67854"/>
    <w:rsid w:val="00FE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AC7C"/>
  <w15:chartTrackingRefBased/>
  <w15:docId w15:val="{52C56B41-113E-4DFC-9EFE-3D8EE69D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F52"/>
    <w:pPr>
      <w:spacing w:line="240" w:lineRule="auto"/>
      <w:jc w:val="center"/>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29B"/>
    <w:rPr>
      <w:color w:val="0563C1" w:themeColor="hyperlink"/>
      <w:u w:val="single"/>
    </w:rPr>
  </w:style>
  <w:style w:type="character" w:styleId="UnresolvedMention">
    <w:name w:val="Unresolved Mention"/>
    <w:basedOn w:val="DefaultParagraphFont"/>
    <w:uiPriority w:val="99"/>
    <w:semiHidden/>
    <w:unhideWhenUsed/>
    <w:rsid w:val="0058729B"/>
    <w:rPr>
      <w:color w:val="605E5C"/>
      <w:shd w:val="clear" w:color="auto" w:fill="E1DFDD"/>
    </w:rPr>
  </w:style>
  <w:style w:type="table" w:customStyle="1" w:styleId="TableGrid1">
    <w:name w:val="Table Grid1"/>
    <w:basedOn w:val="TableNormal"/>
    <w:next w:val="TableGrid"/>
    <w:uiPriority w:val="39"/>
    <w:rsid w:val="0028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8E7"/>
    <w:rPr>
      <w:color w:val="954F72" w:themeColor="followedHyperlink"/>
      <w:u w:val="single"/>
    </w:rPr>
  </w:style>
  <w:style w:type="character" w:styleId="CommentReference">
    <w:name w:val="annotation reference"/>
    <w:basedOn w:val="DefaultParagraphFont"/>
    <w:uiPriority w:val="99"/>
    <w:semiHidden/>
    <w:unhideWhenUsed/>
    <w:rsid w:val="00122BB7"/>
    <w:rPr>
      <w:sz w:val="16"/>
      <w:szCs w:val="16"/>
    </w:rPr>
  </w:style>
  <w:style w:type="paragraph" w:styleId="CommentText">
    <w:name w:val="annotation text"/>
    <w:basedOn w:val="Normal"/>
    <w:link w:val="CommentTextChar"/>
    <w:uiPriority w:val="99"/>
    <w:semiHidden/>
    <w:unhideWhenUsed/>
    <w:rsid w:val="00122BB7"/>
    <w:pPr>
      <w:spacing w:line="240" w:lineRule="auto"/>
    </w:pPr>
    <w:rPr>
      <w:sz w:val="20"/>
      <w:szCs w:val="20"/>
    </w:rPr>
  </w:style>
  <w:style w:type="character" w:customStyle="1" w:styleId="CommentTextChar">
    <w:name w:val="Comment Text Char"/>
    <w:basedOn w:val="DefaultParagraphFont"/>
    <w:link w:val="CommentText"/>
    <w:uiPriority w:val="99"/>
    <w:semiHidden/>
    <w:rsid w:val="00122BB7"/>
    <w:rPr>
      <w:sz w:val="20"/>
      <w:szCs w:val="20"/>
    </w:rPr>
  </w:style>
  <w:style w:type="paragraph" w:styleId="CommentSubject">
    <w:name w:val="annotation subject"/>
    <w:basedOn w:val="CommentText"/>
    <w:next w:val="CommentText"/>
    <w:link w:val="CommentSubjectChar"/>
    <w:uiPriority w:val="99"/>
    <w:semiHidden/>
    <w:unhideWhenUsed/>
    <w:rsid w:val="00122BB7"/>
    <w:rPr>
      <w:b/>
      <w:bCs/>
    </w:rPr>
  </w:style>
  <w:style w:type="character" w:customStyle="1" w:styleId="CommentSubjectChar">
    <w:name w:val="Comment Subject Char"/>
    <w:basedOn w:val="CommentTextChar"/>
    <w:link w:val="CommentSubject"/>
    <w:uiPriority w:val="99"/>
    <w:semiHidden/>
    <w:rsid w:val="00122BB7"/>
    <w:rPr>
      <w:b/>
      <w:bCs/>
      <w:sz w:val="20"/>
      <w:szCs w:val="20"/>
    </w:rPr>
  </w:style>
  <w:style w:type="paragraph" w:styleId="BalloonText">
    <w:name w:val="Balloon Text"/>
    <w:basedOn w:val="Normal"/>
    <w:link w:val="BalloonTextChar"/>
    <w:uiPriority w:val="99"/>
    <w:semiHidden/>
    <w:unhideWhenUsed/>
    <w:rsid w:val="00122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B7"/>
    <w:rPr>
      <w:rFonts w:ascii="Segoe UI" w:hAnsi="Segoe UI" w:cs="Segoe UI"/>
      <w:sz w:val="18"/>
      <w:szCs w:val="18"/>
    </w:rPr>
  </w:style>
  <w:style w:type="paragraph" w:styleId="ListParagraph">
    <w:name w:val="List Paragraph"/>
    <w:basedOn w:val="Normal"/>
    <w:uiPriority w:val="34"/>
    <w:qFormat/>
    <w:rsid w:val="00556AD2"/>
    <w:pPr>
      <w:spacing w:after="0" w:line="240" w:lineRule="auto"/>
      <w:ind w:left="720"/>
      <w:contextualSpacing/>
    </w:pPr>
    <w:rPr>
      <w:rFonts w:ascii="Calibri" w:hAnsi="Calibri" w:cs="Calibri"/>
    </w:rPr>
  </w:style>
  <w:style w:type="paragraph" w:customStyle="1" w:styleId="xmsonormal">
    <w:name w:val="x_msonormal"/>
    <w:basedOn w:val="Normal"/>
    <w:rsid w:val="00556AD2"/>
    <w:pPr>
      <w:spacing w:after="0" w:line="240" w:lineRule="auto"/>
    </w:pPr>
    <w:rPr>
      <w:rFonts w:ascii="Calibri" w:hAnsi="Calibri" w:cs="Calibri"/>
    </w:rPr>
  </w:style>
  <w:style w:type="character" w:styleId="Strong">
    <w:name w:val="Strong"/>
    <w:basedOn w:val="DefaultParagraphFont"/>
    <w:uiPriority w:val="22"/>
    <w:qFormat/>
    <w:rsid w:val="00556AD2"/>
    <w:rPr>
      <w:b/>
      <w:bCs/>
    </w:rPr>
  </w:style>
  <w:style w:type="paragraph" w:styleId="FootnoteText">
    <w:name w:val="footnote text"/>
    <w:basedOn w:val="Normal"/>
    <w:link w:val="FootnoteTextChar"/>
    <w:uiPriority w:val="99"/>
    <w:semiHidden/>
    <w:unhideWhenUsed/>
    <w:rsid w:val="00E16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8A5"/>
    <w:rPr>
      <w:sz w:val="20"/>
      <w:szCs w:val="20"/>
    </w:rPr>
  </w:style>
  <w:style w:type="character" w:styleId="FootnoteReference">
    <w:name w:val="footnote reference"/>
    <w:basedOn w:val="DefaultParagraphFont"/>
    <w:uiPriority w:val="99"/>
    <w:semiHidden/>
    <w:unhideWhenUsed/>
    <w:rsid w:val="00E168A5"/>
    <w:rPr>
      <w:vertAlign w:val="superscript"/>
    </w:rPr>
  </w:style>
  <w:style w:type="paragraph" w:styleId="Title">
    <w:name w:val="Title"/>
    <w:basedOn w:val="Normal"/>
    <w:next w:val="Normal"/>
    <w:link w:val="TitleChar"/>
    <w:uiPriority w:val="10"/>
    <w:qFormat/>
    <w:rsid w:val="00E50F52"/>
    <w:pPr>
      <w:spacing w:line="240" w:lineRule="auto"/>
      <w:jc w:val="center"/>
    </w:pPr>
    <w:rPr>
      <w:rFonts w:ascii="Arial" w:hAnsi="Arial" w:cs="Arial"/>
      <w:b/>
      <w:bCs/>
      <w:sz w:val="40"/>
      <w:szCs w:val="40"/>
    </w:rPr>
  </w:style>
  <w:style w:type="character" w:customStyle="1" w:styleId="TitleChar">
    <w:name w:val="Title Char"/>
    <w:basedOn w:val="DefaultParagraphFont"/>
    <w:link w:val="Title"/>
    <w:uiPriority w:val="10"/>
    <w:rsid w:val="00E50F52"/>
    <w:rPr>
      <w:rFonts w:ascii="Arial" w:hAnsi="Arial" w:cs="Arial"/>
      <w:b/>
      <w:bCs/>
      <w:sz w:val="40"/>
      <w:szCs w:val="40"/>
    </w:rPr>
  </w:style>
  <w:style w:type="character" w:customStyle="1" w:styleId="Heading1Char">
    <w:name w:val="Heading 1 Char"/>
    <w:basedOn w:val="DefaultParagraphFont"/>
    <w:link w:val="Heading1"/>
    <w:uiPriority w:val="9"/>
    <w:rsid w:val="00E50F52"/>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05768">
      <w:bodyDiv w:val="1"/>
      <w:marLeft w:val="0"/>
      <w:marRight w:val="0"/>
      <w:marTop w:val="0"/>
      <w:marBottom w:val="0"/>
      <w:divBdr>
        <w:top w:val="none" w:sz="0" w:space="0" w:color="auto"/>
        <w:left w:val="none" w:sz="0" w:space="0" w:color="auto"/>
        <w:bottom w:val="none" w:sz="0" w:space="0" w:color="auto"/>
        <w:right w:val="none" w:sz="0" w:space="0" w:color="auto"/>
      </w:divBdr>
    </w:div>
    <w:div w:id="1790511588">
      <w:bodyDiv w:val="1"/>
      <w:marLeft w:val="0"/>
      <w:marRight w:val="0"/>
      <w:marTop w:val="0"/>
      <w:marBottom w:val="0"/>
      <w:divBdr>
        <w:top w:val="none" w:sz="0" w:space="0" w:color="auto"/>
        <w:left w:val="none" w:sz="0" w:space="0" w:color="auto"/>
        <w:bottom w:val="none" w:sz="0" w:space="0" w:color="auto"/>
        <w:right w:val="none" w:sz="0" w:space="0" w:color="auto"/>
      </w:divBdr>
    </w:div>
    <w:div w:id="18503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content/42102-prohibition" TargetMode="External"/><Relationship Id="rId18" Type="http://schemas.openxmlformats.org/officeDocument/2006/relationships/hyperlink" Target="https://oalmsps.od.nih.gov/OAMP/DSAPS/ASRB/SAPhD/SitePages/Home.aspx" TargetMode="External"/><Relationship Id="rId26" Type="http://schemas.openxmlformats.org/officeDocument/2006/relationships/image" Target="media/image5.PNG"/><Relationship Id="rId39" Type="http://schemas.openxmlformats.org/officeDocument/2006/relationships/hyperlink" Target="http://oalm.od.nih.gov/GreenPurchasingForWebsite"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hr.nih.gov/training-center/course-catalog/acquisitions-management" TargetMode="External"/><Relationship Id="rId42" Type="http://schemas.openxmlformats.org/officeDocument/2006/relationships/hyperlink" Target="mailto:NicholaM@od.nih.gov" TargetMode="External"/><Relationship Id="rId47" Type="http://schemas.openxmlformats.org/officeDocument/2006/relationships/hyperlink" Target="mailto:OALMnewsletter@mail.nih.gov" TargetMode="External"/><Relationship Id="rId7" Type="http://schemas.openxmlformats.org/officeDocument/2006/relationships/hyperlink" Target="https://ams.hhs.gov/amsLogin/SimpleLogin.jsp" TargetMode="External"/><Relationship Id="rId12" Type="http://schemas.openxmlformats.org/officeDocument/2006/relationships/hyperlink" Target="https://ams.hhs.gov/amsLogin/SimpleLogin.jsp" TargetMode="External"/><Relationship Id="rId17" Type="http://schemas.openxmlformats.org/officeDocument/2006/relationships/hyperlink" Target="https://www.acquisition.gov/content/part-52-solicitation-provisions-and-contract-clauses" TargetMode="External"/><Relationship Id="rId25" Type="http://schemas.openxmlformats.org/officeDocument/2006/relationships/image" Target="media/image4.PNG"/><Relationship Id="rId33" Type="http://schemas.openxmlformats.org/officeDocument/2006/relationships/hyperlink" Target="https://oalmsps.od.nih.gov/OAMP/DSAPS/ASRB/SAPhD/SitePages/Home.aspx" TargetMode="External"/><Relationship Id="rId38" Type="http://schemas.openxmlformats.org/officeDocument/2006/relationships/hyperlink" Target="http://training.cit.nih.gov/list.aspx?catId=14" TargetMode="External"/><Relationship Id="rId46" Type="http://schemas.openxmlformats.org/officeDocument/2006/relationships/hyperlink" Target="mailto:SolomonBJ@od.nih.gov" TargetMode="External"/><Relationship Id="rId2" Type="http://schemas.openxmlformats.org/officeDocument/2006/relationships/styles" Target="styles.xml"/><Relationship Id="rId16" Type="http://schemas.openxmlformats.org/officeDocument/2006/relationships/hyperlink" Target="https://www.acquisition.gov/content/part-52-solicitation-provisions-and-contract-clauses" TargetMode="External"/><Relationship Id="rId20" Type="http://schemas.openxmlformats.org/officeDocument/2006/relationships/hyperlink" Target="https://www.phe.gov/emergency/news/healthactions/phe/Pages/2019-nCoV.aspx" TargetMode="External"/><Relationship Id="rId29" Type="http://schemas.openxmlformats.org/officeDocument/2006/relationships/hyperlink" Target="https://nitaac.nih.gov/services/cio-cs" TargetMode="External"/><Relationship Id="rId41" Type="http://schemas.openxmlformats.org/officeDocument/2006/relationships/hyperlink" Target="mailto:BPAProgramBranch@od.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nih.gov" TargetMode="External"/><Relationship Id="rId24" Type="http://schemas.openxmlformats.org/officeDocument/2006/relationships/image" Target="media/image3.PNG"/><Relationship Id="rId32" Type="http://schemas.openxmlformats.org/officeDocument/2006/relationships/hyperlink" Target="https://openopps.usajobs.gov/" TargetMode="External"/><Relationship Id="rId37" Type="http://schemas.openxmlformats.org/officeDocument/2006/relationships/hyperlink" Target="https://www.dau.edu/training" TargetMode="External"/><Relationship Id="rId40" Type="http://schemas.openxmlformats.org/officeDocument/2006/relationships/hyperlink" Target="http://oamp.od.nih.gov/dsaps/bpa-program" TargetMode="External"/><Relationship Id="rId45" Type="http://schemas.openxmlformats.org/officeDocument/2006/relationships/hyperlink" Target="mailto:,%20or%20Barry" TargetMode="External"/><Relationship Id="rId5" Type="http://schemas.openxmlformats.org/officeDocument/2006/relationships/footnotes" Target="footnotes.xml"/><Relationship Id="rId15" Type="http://schemas.openxmlformats.org/officeDocument/2006/relationships/hyperlink" Target="https://www.acquisition.gov/content/13201-general" TargetMode="External"/><Relationship Id="rId23" Type="http://schemas.openxmlformats.org/officeDocument/2006/relationships/image" Target="media/image2.png"/><Relationship Id="rId28" Type="http://schemas.openxmlformats.org/officeDocument/2006/relationships/hyperlink" Target="https://openopps.usajobs.gov/tasks/1897" TargetMode="External"/><Relationship Id="rId36" Type="http://schemas.openxmlformats.org/officeDocument/2006/relationships/hyperlink" Target="http://www.fai.gov/" TargetMode="External"/><Relationship Id="rId49" Type="http://schemas.openxmlformats.org/officeDocument/2006/relationships/theme" Target="theme/theme1.xml"/><Relationship Id="rId10" Type="http://schemas.openxmlformats.org/officeDocument/2006/relationships/hyperlink" Target="https://oalm.od.nih.gov/acp_training" TargetMode="External"/><Relationship Id="rId19" Type="http://schemas.openxmlformats.org/officeDocument/2006/relationships/hyperlink" Target="https://oalmsps.od.nih.gov/OAMP/DSAPS/ASRB/SAPhD/SitePages/Home.aspx" TargetMode="External"/><Relationship Id="rId31" Type="http://schemas.openxmlformats.org/officeDocument/2006/relationships/hyperlink" Target="mailto:kelly.lael@nih.gov" TargetMode="External"/><Relationship Id="rId44" Type="http://schemas.openxmlformats.org/officeDocument/2006/relationships/hyperlink" Target="mailto:Jesse.Lee2@nih.gov" TargetMode="External"/><Relationship Id="rId4" Type="http://schemas.openxmlformats.org/officeDocument/2006/relationships/webSettings" Target="webSettings.xml"/><Relationship Id="rId9" Type="http://schemas.openxmlformats.org/officeDocument/2006/relationships/hyperlink" Target="https://hr.nih.gov/training-center/course-catalog/basic-simplified-acquisition" TargetMode="External"/><Relationship Id="rId14" Type="http://schemas.openxmlformats.org/officeDocument/2006/relationships/hyperlink" Target="https://www.acquisition.gov/content/part-12-acquisition-commercial-items" TargetMode="External"/><Relationship Id="rId22" Type="http://schemas.openxmlformats.org/officeDocument/2006/relationships/hyperlink" Target="https://www.gao.gov/key_issues/leading_practices_acquisition_management/issue_summary" TargetMode="External"/><Relationship Id="rId27" Type="http://schemas.openxmlformats.org/officeDocument/2006/relationships/image" Target="media/image6.PNG"/><Relationship Id="rId30" Type="http://schemas.openxmlformats.org/officeDocument/2006/relationships/hyperlink" Target="mailto:openopps@usajobs.gov" TargetMode="External"/><Relationship Id="rId35" Type="http://schemas.openxmlformats.org/officeDocument/2006/relationships/hyperlink" Target="https://hr.nih.gov/training-center/course-catalog/acquisitions-management" TargetMode="External"/><Relationship Id="rId43" Type="http://schemas.openxmlformats.org/officeDocument/2006/relationships/hyperlink" Target="mailto:McDermottMl@od.nih.gov" TargetMode="External"/><Relationship Id="rId48" Type="http://schemas.openxmlformats.org/officeDocument/2006/relationships/fontTable" Target="fontTable.xml"/><Relationship Id="rId8" Type="http://schemas.openxmlformats.org/officeDocument/2006/relationships/hyperlink" Target="https://faitas.army.mil/Faitas/External/Courses/Search/Results;keywords=FQN%20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Milton (NIH/OD) [E]</dc:creator>
  <cp:keywords/>
  <dc:description/>
  <cp:lastModifiedBy>Ambrose, Alan (NIH/OD) [C]</cp:lastModifiedBy>
  <cp:revision>2</cp:revision>
  <dcterms:created xsi:type="dcterms:W3CDTF">2020-08-26T13:47:00Z</dcterms:created>
  <dcterms:modified xsi:type="dcterms:W3CDTF">2020-08-26T13:47:00Z</dcterms:modified>
</cp:coreProperties>
</file>